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280" w:firstLine="0" w:firstLineChars="0"/>
        <w:jc w:val="both"/>
        <w:rPr>
          <w:rFonts w:hint="eastAsia" w:ascii="华文仿宋" w:hAnsi="华文仿宋" w:eastAsia="华文仿宋"/>
          <w:b/>
          <w:sz w:val="52"/>
          <w:szCs w:val="52"/>
        </w:rPr>
      </w:pPr>
      <w:bookmarkStart w:id="0" w:name="_Toc225244046"/>
      <w:bookmarkStart w:id="1" w:name="_Toc224965863"/>
      <w:r>
        <w:drawing>
          <wp:inline distT="0" distB="0" distL="114300" distR="114300">
            <wp:extent cx="5640070" cy="7993380"/>
            <wp:effectExtent l="0" t="0" r="17780"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5640070" cy="7993380"/>
                    </a:xfrm>
                    <a:prstGeom prst="rect">
                      <a:avLst/>
                    </a:prstGeom>
                    <a:noFill/>
                    <a:ln w="9525">
                      <a:noFill/>
                    </a:ln>
                  </pic:spPr>
                </pic:pic>
              </a:graphicData>
            </a:graphic>
          </wp:inline>
        </w:drawing>
      </w:r>
    </w:p>
    <w:p>
      <w:pPr>
        <w:ind w:leftChars="0" w:right="280" w:firstLine="0" w:firstLineChars="0"/>
        <w:jc w:val="center"/>
        <w:rPr>
          <w:rFonts w:hint="eastAsia" w:ascii="华文仿宋" w:hAnsi="华文仿宋" w:eastAsia="华文仿宋"/>
          <w:b/>
          <w:sz w:val="52"/>
          <w:szCs w:val="52"/>
        </w:rPr>
      </w:pPr>
    </w:p>
    <w:p>
      <w:pPr>
        <w:ind w:left="280" w:right="280" w:firstLine="0" w:firstLineChars="0"/>
        <w:jc w:val="center"/>
      </w:pPr>
      <w:r>
        <w:drawing>
          <wp:inline distT="0" distB="0" distL="114300" distR="114300">
            <wp:extent cx="5730875" cy="7902575"/>
            <wp:effectExtent l="0" t="0" r="3175" b="31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0"/>
                    <a:stretch>
                      <a:fillRect/>
                    </a:stretch>
                  </pic:blipFill>
                  <pic:spPr>
                    <a:xfrm>
                      <a:off x="0" y="0"/>
                      <a:ext cx="5730875" cy="7902575"/>
                    </a:xfrm>
                    <a:prstGeom prst="rect">
                      <a:avLst/>
                    </a:prstGeom>
                    <a:noFill/>
                    <a:ln w="9525">
                      <a:noFill/>
                    </a:ln>
                  </pic:spPr>
                </pic:pic>
              </a:graphicData>
            </a:graphic>
          </wp:inline>
        </w:drawing>
      </w:r>
    </w:p>
    <w:p>
      <w:pPr>
        <w:ind w:left="280" w:right="280" w:firstLine="0" w:firstLineChars="0"/>
        <w:jc w:val="center"/>
      </w:pPr>
      <w:bookmarkStart w:id="307" w:name="_GoBack"/>
      <w:bookmarkEnd w:id="307"/>
    </w:p>
    <w:p>
      <w:pPr>
        <w:ind w:left="280" w:right="280" w:firstLine="0" w:firstLineChars="0"/>
        <w:jc w:val="center"/>
        <w:rPr>
          <w:rFonts w:ascii="华文仿宋" w:hAnsi="华文仿宋" w:eastAsia="华文仿宋"/>
          <w:b/>
          <w:sz w:val="32"/>
          <w:szCs w:val="32"/>
        </w:rPr>
      </w:pPr>
    </w:p>
    <w:p>
      <w:pPr>
        <w:ind w:left="280" w:right="280" w:firstLine="0" w:firstLineChars="0"/>
        <w:jc w:val="center"/>
        <w:rPr>
          <w:rFonts w:ascii="华文仿宋" w:hAnsi="华文仿宋" w:eastAsia="华文仿宋"/>
          <w:b/>
          <w:sz w:val="32"/>
          <w:szCs w:val="32"/>
        </w:rPr>
      </w:pPr>
      <w:r>
        <w:rPr>
          <w:rFonts w:ascii="华文仿宋" w:hAnsi="华文仿宋" w:eastAsia="华文仿宋"/>
          <w:b/>
          <w:sz w:val="32"/>
          <w:szCs w:val="32"/>
        </w:rPr>
        <w:t>目  录</w:t>
      </w:r>
    </w:p>
    <w:p>
      <w:pPr>
        <w:pStyle w:val="23"/>
        <w:tabs>
          <w:tab w:val="right" w:leader="dot" w:pos="9356"/>
          <w:tab w:val="clear" w:pos="9072"/>
        </w:tabs>
      </w:pPr>
      <w:r>
        <w:rPr>
          <w:sz w:val="21"/>
          <w:szCs w:val="21"/>
        </w:rPr>
        <w:fldChar w:fldCharType="begin"/>
      </w:r>
      <w:r>
        <w:rPr>
          <w:sz w:val="21"/>
          <w:szCs w:val="21"/>
        </w:rPr>
        <w:instrText xml:space="preserve"> TOC \o "1-3" \h \z \u </w:instrText>
      </w:r>
      <w:r>
        <w:rPr>
          <w:sz w:val="21"/>
          <w:szCs w:val="21"/>
        </w:rPr>
        <w:fldChar w:fldCharType="separate"/>
      </w:r>
      <w:r>
        <w:rPr>
          <w:szCs w:val="21"/>
        </w:rPr>
        <w:fldChar w:fldCharType="begin"/>
      </w:r>
      <w:r>
        <w:rPr>
          <w:szCs w:val="21"/>
        </w:rPr>
        <w:instrText xml:space="preserve"> HYPERLINK \l _Toc6535 </w:instrText>
      </w:r>
      <w:r>
        <w:rPr>
          <w:szCs w:val="21"/>
        </w:rPr>
        <w:fldChar w:fldCharType="separate"/>
      </w:r>
      <w:r>
        <w:rPr>
          <w:rFonts w:ascii="华文仿宋" w:hAnsi="华文仿宋" w:eastAsia="华文仿宋"/>
        </w:rPr>
        <w:t>1总则</w:t>
      </w:r>
      <w:r>
        <w:tab/>
      </w:r>
      <w:r>
        <w:fldChar w:fldCharType="begin"/>
      </w:r>
      <w:r>
        <w:instrText xml:space="preserve"> PAGEREF _Toc6535 </w:instrText>
      </w:r>
      <w:r>
        <w:fldChar w:fldCharType="separate"/>
      </w:r>
      <w:r>
        <w:t>1</w:t>
      </w:r>
      <w:r>
        <w:fldChar w:fldCharType="end"/>
      </w:r>
      <w:r>
        <w:rPr>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_Toc27067 </w:instrText>
      </w:r>
      <w:r>
        <w:rPr>
          <w:rFonts w:ascii="华文仿宋" w:hAnsi="华文仿宋" w:eastAsia="华文仿宋"/>
          <w:szCs w:val="21"/>
        </w:rPr>
        <w:fldChar w:fldCharType="separate"/>
      </w:r>
      <w:r>
        <w:rPr>
          <w:rFonts w:ascii="华文仿宋" w:hAnsi="华文仿宋" w:eastAsia="华文仿宋"/>
        </w:rPr>
        <w:t>1.1编制目的</w:t>
      </w:r>
      <w:r>
        <w:tab/>
      </w:r>
      <w:r>
        <w:fldChar w:fldCharType="begin"/>
      </w:r>
      <w:r>
        <w:instrText xml:space="preserve"> PAGEREF _Toc27067 </w:instrText>
      </w:r>
      <w:r>
        <w:fldChar w:fldCharType="separate"/>
      </w:r>
      <w:r>
        <w:t>1</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_Toc10340 </w:instrText>
      </w:r>
      <w:r>
        <w:rPr>
          <w:rFonts w:ascii="华文仿宋" w:hAnsi="华文仿宋" w:eastAsia="华文仿宋"/>
          <w:szCs w:val="21"/>
        </w:rPr>
        <w:fldChar w:fldCharType="separate"/>
      </w:r>
      <w:r>
        <w:rPr>
          <w:rFonts w:ascii="华文仿宋" w:hAnsi="华文仿宋" w:eastAsia="华文仿宋"/>
        </w:rPr>
        <w:t>1.2编制依据</w:t>
      </w:r>
      <w:r>
        <w:tab/>
      </w:r>
      <w:r>
        <w:fldChar w:fldCharType="begin"/>
      </w:r>
      <w:r>
        <w:instrText xml:space="preserve"> PAGEREF _Toc10340 </w:instrText>
      </w:r>
      <w:r>
        <w:fldChar w:fldCharType="separate"/>
      </w:r>
      <w:r>
        <w:t>1</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_Toc8911 </w:instrText>
      </w:r>
      <w:r>
        <w:rPr>
          <w:rFonts w:ascii="华文仿宋" w:hAnsi="华文仿宋" w:eastAsia="华文仿宋"/>
          <w:szCs w:val="21"/>
        </w:rPr>
        <w:fldChar w:fldCharType="separate"/>
      </w:r>
      <w:r>
        <w:rPr>
          <w:rFonts w:hint="eastAsia" w:ascii="华文仿宋" w:hAnsi="华文仿宋" w:eastAsia="华文仿宋"/>
        </w:rPr>
        <w:t>1.2.1法律法规、政策</w:t>
      </w:r>
      <w:r>
        <w:tab/>
      </w:r>
      <w:r>
        <w:fldChar w:fldCharType="begin"/>
      </w:r>
      <w:r>
        <w:instrText xml:space="preserve"> PAGEREF _Toc8911 </w:instrText>
      </w:r>
      <w:r>
        <w:fldChar w:fldCharType="separate"/>
      </w:r>
      <w:r>
        <w:t>1</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_Toc970 </w:instrText>
      </w:r>
      <w:r>
        <w:rPr>
          <w:rFonts w:ascii="华文仿宋" w:hAnsi="华文仿宋" w:eastAsia="华文仿宋"/>
          <w:szCs w:val="21"/>
        </w:rPr>
        <w:fldChar w:fldCharType="separate"/>
      </w:r>
      <w:r>
        <w:rPr>
          <w:rFonts w:hint="eastAsia" w:ascii="华文仿宋" w:hAnsi="华文仿宋" w:eastAsia="华文仿宋"/>
        </w:rPr>
        <w:t>1.2.2技术指南、标准规范</w:t>
      </w:r>
      <w:r>
        <w:tab/>
      </w:r>
      <w:r>
        <w:fldChar w:fldCharType="begin"/>
      </w:r>
      <w:r>
        <w:instrText xml:space="preserve"> PAGEREF _Toc970 </w:instrText>
      </w:r>
      <w:r>
        <w:fldChar w:fldCharType="separate"/>
      </w:r>
      <w:r>
        <w:t>2</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_Toc21969 </w:instrText>
      </w:r>
      <w:r>
        <w:rPr>
          <w:rFonts w:ascii="华文仿宋" w:hAnsi="华文仿宋" w:eastAsia="华文仿宋"/>
          <w:szCs w:val="21"/>
        </w:rPr>
        <w:fldChar w:fldCharType="separate"/>
      </w:r>
      <w:r>
        <w:rPr>
          <w:rFonts w:ascii="仿宋" w:hAnsi="仿宋" w:eastAsia="仿宋"/>
        </w:rPr>
        <w:t>1.3</w:t>
      </w:r>
      <w:r>
        <w:rPr>
          <w:rFonts w:hint="eastAsia" w:ascii="仿宋" w:hAnsi="仿宋" w:eastAsia="仿宋"/>
        </w:rPr>
        <w:t>事件分级</w:t>
      </w:r>
      <w:r>
        <w:tab/>
      </w:r>
      <w:r>
        <w:fldChar w:fldCharType="begin"/>
      </w:r>
      <w:r>
        <w:instrText xml:space="preserve"> PAGEREF _Toc21969 </w:instrText>
      </w:r>
      <w:r>
        <w:fldChar w:fldCharType="separate"/>
      </w:r>
      <w:r>
        <w:t>3</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_Toc4038 </w:instrText>
      </w:r>
      <w:r>
        <w:rPr>
          <w:rFonts w:ascii="华文仿宋" w:hAnsi="华文仿宋" w:eastAsia="华文仿宋"/>
          <w:szCs w:val="21"/>
        </w:rPr>
        <w:fldChar w:fldCharType="separate"/>
      </w:r>
      <w:r>
        <w:rPr>
          <w:rFonts w:ascii="仿宋" w:hAnsi="仿宋" w:eastAsia="仿宋"/>
        </w:rPr>
        <w:t>1.4适用范围</w:t>
      </w:r>
      <w:r>
        <w:tab/>
      </w:r>
      <w:r>
        <w:fldChar w:fldCharType="begin"/>
      </w:r>
      <w:r>
        <w:instrText xml:space="preserve"> PAGEREF _Toc4038 </w:instrText>
      </w:r>
      <w:r>
        <w:fldChar w:fldCharType="separate"/>
      </w:r>
      <w:r>
        <w:t>4</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_Toc25848 </w:instrText>
      </w:r>
      <w:r>
        <w:rPr>
          <w:rFonts w:ascii="华文仿宋" w:hAnsi="华文仿宋" w:eastAsia="华文仿宋"/>
          <w:szCs w:val="21"/>
        </w:rPr>
        <w:fldChar w:fldCharType="separate"/>
      </w:r>
      <w:r>
        <w:rPr>
          <w:rFonts w:ascii="仿宋" w:hAnsi="仿宋" w:eastAsia="仿宋"/>
        </w:rPr>
        <w:t>1.5应急预案体系</w:t>
      </w:r>
      <w:r>
        <w:tab/>
      </w:r>
      <w:r>
        <w:fldChar w:fldCharType="begin"/>
      </w:r>
      <w:r>
        <w:instrText xml:space="preserve"> PAGEREF _Toc25848 </w:instrText>
      </w:r>
      <w:r>
        <w:fldChar w:fldCharType="separate"/>
      </w:r>
      <w:r>
        <w:t>4</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_Toc25254 </w:instrText>
      </w:r>
      <w:r>
        <w:rPr>
          <w:rFonts w:ascii="华文仿宋" w:hAnsi="华文仿宋" w:eastAsia="华文仿宋"/>
          <w:szCs w:val="21"/>
        </w:rPr>
        <w:fldChar w:fldCharType="separate"/>
      </w:r>
      <w:r>
        <w:rPr>
          <w:rFonts w:ascii="仿宋" w:hAnsi="仿宋" w:eastAsia="仿宋"/>
        </w:rPr>
        <w:t>1.6工作原则</w:t>
      </w:r>
      <w:r>
        <w:tab/>
      </w:r>
      <w:r>
        <w:fldChar w:fldCharType="begin"/>
      </w:r>
      <w:r>
        <w:instrText xml:space="preserve"> PAGEREF _Toc25254 </w:instrText>
      </w:r>
      <w:r>
        <w:fldChar w:fldCharType="separate"/>
      </w:r>
      <w:r>
        <w:t>5</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_Toc7809 </w:instrText>
      </w:r>
      <w:r>
        <w:rPr>
          <w:rFonts w:ascii="华文仿宋" w:hAnsi="华文仿宋" w:eastAsia="华文仿宋"/>
          <w:szCs w:val="21"/>
        </w:rPr>
        <w:fldChar w:fldCharType="separate"/>
      </w:r>
      <w:r>
        <w:rPr>
          <w:rFonts w:ascii="仿宋" w:hAnsi="仿宋" w:eastAsia="仿宋"/>
        </w:rPr>
        <w:t>2基本情况</w:t>
      </w:r>
      <w:r>
        <w:tab/>
      </w:r>
      <w:r>
        <w:fldChar w:fldCharType="begin"/>
      </w:r>
      <w:r>
        <w:instrText xml:space="preserve"> PAGEREF _Toc7809 </w:instrText>
      </w:r>
      <w:r>
        <w:fldChar w:fldCharType="separate"/>
      </w:r>
      <w:r>
        <w:t>5</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_Toc1582 </w:instrText>
      </w:r>
      <w:r>
        <w:rPr>
          <w:rFonts w:ascii="华文仿宋" w:hAnsi="华文仿宋" w:eastAsia="华文仿宋"/>
          <w:szCs w:val="21"/>
        </w:rPr>
        <w:fldChar w:fldCharType="separate"/>
      </w:r>
      <w:r>
        <w:rPr>
          <w:rFonts w:ascii="仿宋" w:hAnsi="仿宋" w:eastAsia="仿宋"/>
        </w:rPr>
        <w:t>2.1企业概况</w:t>
      </w:r>
      <w:r>
        <w:tab/>
      </w:r>
      <w:r>
        <w:fldChar w:fldCharType="begin"/>
      </w:r>
      <w:r>
        <w:instrText xml:space="preserve"> PAGEREF _Toc1582 </w:instrText>
      </w:r>
      <w:r>
        <w:fldChar w:fldCharType="separate"/>
      </w:r>
      <w:r>
        <w:t>5</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_Toc3995 </w:instrText>
      </w:r>
      <w:r>
        <w:rPr>
          <w:rFonts w:ascii="华文仿宋" w:hAnsi="华文仿宋" w:eastAsia="华文仿宋"/>
          <w:szCs w:val="21"/>
        </w:rPr>
        <w:fldChar w:fldCharType="separate"/>
      </w:r>
      <w:r>
        <w:rPr>
          <w:rFonts w:ascii="仿宋" w:hAnsi="仿宋" w:eastAsia="仿宋"/>
        </w:rPr>
        <w:t>2.1.1企业名称、法人代表、联系人、联系电话</w:t>
      </w:r>
      <w:r>
        <w:tab/>
      </w:r>
      <w:r>
        <w:fldChar w:fldCharType="begin"/>
      </w:r>
      <w:r>
        <w:instrText xml:space="preserve"> PAGEREF _Toc3995 </w:instrText>
      </w:r>
      <w:r>
        <w:fldChar w:fldCharType="separate"/>
      </w:r>
      <w:r>
        <w:t>5</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_Toc15210 </w:instrText>
      </w:r>
      <w:r>
        <w:rPr>
          <w:rFonts w:ascii="华文仿宋" w:hAnsi="华文仿宋" w:eastAsia="华文仿宋"/>
          <w:szCs w:val="21"/>
        </w:rPr>
        <w:fldChar w:fldCharType="separate"/>
      </w:r>
      <w:r>
        <w:rPr>
          <w:rFonts w:ascii="仿宋" w:hAnsi="仿宋" w:eastAsia="仿宋"/>
        </w:rPr>
        <w:t>2.1.2通讯地址及邮政编码</w:t>
      </w:r>
      <w:r>
        <w:tab/>
      </w:r>
      <w:r>
        <w:fldChar w:fldCharType="begin"/>
      </w:r>
      <w:r>
        <w:instrText xml:space="preserve"> PAGEREF _Toc15210 </w:instrText>
      </w:r>
      <w:r>
        <w:fldChar w:fldCharType="separate"/>
      </w:r>
      <w:r>
        <w:t>5</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_Toc878 </w:instrText>
      </w:r>
      <w:r>
        <w:rPr>
          <w:rFonts w:ascii="华文仿宋" w:hAnsi="华文仿宋" w:eastAsia="华文仿宋"/>
          <w:szCs w:val="21"/>
        </w:rPr>
        <w:fldChar w:fldCharType="separate"/>
      </w:r>
      <w:r>
        <w:rPr>
          <w:rFonts w:ascii="仿宋" w:hAnsi="仿宋" w:eastAsia="仿宋"/>
        </w:rPr>
        <w:t>2.1.3工作班制、员工人数</w:t>
      </w:r>
      <w:r>
        <w:tab/>
      </w:r>
      <w:r>
        <w:fldChar w:fldCharType="begin"/>
      </w:r>
      <w:r>
        <w:instrText xml:space="preserve"> PAGEREF _Toc878 </w:instrText>
      </w:r>
      <w:r>
        <w:fldChar w:fldCharType="separate"/>
      </w:r>
      <w:r>
        <w:t>5</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_Toc7680 </w:instrText>
      </w:r>
      <w:r>
        <w:rPr>
          <w:rFonts w:ascii="华文仿宋" w:hAnsi="华文仿宋" w:eastAsia="华文仿宋"/>
          <w:szCs w:val="21"/>
        </w:rPr>
        <w:fldChar w:fldCharType="separate"/>
      </w:r>
      <w:r>
        <w:rPr>
          <w:rFonts w:ascii="仿宋" w:hAnsi="仿宋" w:eastAsia="仿宋"/>
        </w:rPr>
        <w:t>2.1.4占地面积、厂区分布情况</w:t>
      </w:r>
      <w:r>
        <w:tab/>
      </w:r>
      <w:r>
        <w:fldChar w:fldCharType="begin"/>
      </w:r>
      <w:r>
        <w:instrText xml:space="preserve"> PAGEREF _Toc7680 </w:instrText>
      </w:r>
      <w:r>
        <w:fldChar w:fldCharType="separate"/>
      </w:r>
      <w:r>
        <w:t>6</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_Toc14238 </w:instrText>
      </w:r>
      <w:r>
        <w:rPr>
          <w:rFonts w:ascii="华文仿宋" w:hAnsi="华文仿宋" w:eastAsia="华文仿宋"/>
          <w:szCs w:val="21"/>
        </w:rPr>
        <w:fldChar w:fldCharType="separate"/>
      </w:r>
      <w:r>
        <w:rPr>
          <w:rFonts w:ascii="仿宋" w:hAnsi="仿宋" w:eastAsia="仿宋"/>
        </w:rPr>
        <w:t>2.2企业环境风险源基本情况</w:t>
      </w:r>
      <w:r>
        <w:tab/>
      </w:r>
      <w:r>
        <w:fldChar w:fldCharType="begin"/>
      </w:r>
      <w:r>
        <w:instrText xml:space="preserve"> PAGEREF _Toc14238 </w:instrText>
      </w:r>
      <w:r>
        <w:fldChar w:fldCharType="separate"/>
      </w:r>
      <w:r>
        <w:t>6</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_Toc11063 </w:instrText>
      </w:r>
      <w:r>
        <w:rPr>
          <w:rFonts w:ascii="华文仿宋" w:hAnsi="华文仿宋" w:eastAsia="华文仿宋"/>
          <w:szCs w:val="21"/>
        </w:rPr>
        <w:fldChar w:fldCharType="separate"/>
      </w:r>
      <w:r>
        <w:rPr>
          <w:rFonts w:ascii="仿宋" w:hAnsi="仿宋" w:eastAsia="仿宋"/>
        </w:rPr>
        <w:t>2.2.1公司产品产量</w:t>
      </w:r>
      <w:r>
        <w:tab/>
      </w:r>
      <w:r>
        <w:fldChar w:fldCharType="begin"/>
      </w:r>
      <w:r>
        <w:instrText xml:space="preserve"> PAGEREF _Toc11063 </w:instrText>
      </w:r>
      <w:r>
        <w:fldChar w:fldCharType="separate"/>
      </w:r>
      <w:r>
        <w:t>6</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_Toc22978 </w:instrText>
      </w:r>
      <w:r>
        <w:rPr>
          <w:rFonts w:ascii="华文仿宋" w:hAnsi="华文仿宋" w:eastAsia="华文仿宋"/>
          <w:szCs w:val="21"/>
        </w:rPr>
        <w:fldChar w:fldCharType="separate"/>
      </w:r>
      <w:r>
        <w:rPr>
          <w:rFonts w:ascii="仿宋" w:hAnsi="仿宋" w:eastAsia="仿宋"/>
        </w:rPr>
        <w:t>2.2.2原辅材料及能源使用情况</w:t>
      </w:r>
      <w:r>
        <w:tab/>
      </w:r>
      <w:r>
        <w:fldChar w:fldCharType="begin"/>
      </w:r>
      <w:r>
        <w:instrText xml:space="preserve"> PAGEREF _Toc22978 </w:instrText>
      </w:r>
      <w:r>
        <w:fldChar w:fldCharType="separate"/>
      </w:r>
      <w:r>
        <w:t>6</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_Toc4620 </w:instrText>
      </w:r>
      <w:r>
        <w:rPr>
          <w:rFonts w:ascii="华文仿宋" w:hAnsi="华文仿宋" w:eastAsia="华文仿宋"/>
          <w:szCs w:val="21"/>
        </w:rPr>
        <w:fldChar w:fldCharType="separate"/>
      </w:r>
      <w:r>
        <w:rPr>
          <w:rFonts w:ascii="仿宋" w:hAnsi="仿宋" w:eastAsia="仿宋"/>
        </w:rPr>
        <w:t>2.2.</w:t>
      </w:r>
      <w:r>
        <w:rPr>
          <w:rFonts w:hint="eastAsia" w:ascii="仿宋" w:hAnsi="仿宋" w:eastAsia="仿宋"/>
        </w:rPr>
        <w:t>3</w:t>
      </w:r>
      <w:r>
        <w:rPr>
          <w:rFonts w:ascii="仿宋" w:hAnsi="仿宋" w:eastAsia="仿宋"/>
        </w:rPr>
        <w:t>生产工艺流程及生产设备</w:t>
      </w:r>
      <w:r>
        <w:tab/>
      </w:r>
      <w:r>
        <w:fldChar w:fldCharType="begin"/>
      </w:r>
      <w:r>
        <w:instrText xml:space="preserve"> PAGEREF _Toc4620 </w:instrText>
      </w:r>
      <w:r>
        <w:fldChar w:fldCharType="separate"/>
      </w:r>
      <w:r>
        <w:t>7</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_Toc15773 </w:instrText>
      </w:r>
      <w:r>
        <w:rPr>
          <w:rFonts w:ascii="华文仿宋" w:hAnsi="华文仿宋" w:eastAsia="华文仿宋"/>
          <w:szCs w:val="21"/>
        </w:rPr>
        <w:fldChar w:fldCharType="separate"/>
      </w:r>
      <w:r>
        <w:rPr>
          <w:rFonts w:hint="eastAsia" w:eastAsia="黑体"/>
          <w:lang w:val="en-US" w:eastAsia="zh-CN"/>
        </w:rPr>
        <w:t>2.2.3.1</w:t>
      </w:r>
      <w:r>
        <w:rPr>
          <w:rFonts w:eastAsia="黑体"/>
        </w:rPr>
        <w:t xml:space="preserve">  </w:t>
      </w:r>
      <w:r>
        <w:rPr>
          <w:rFonts w:hint="eastAsia" w:eastAsia="黑体"/>
        </w:rPr>
        <w:t>工艺流程</w:t>
      </w:r>
      <w:r>
        <w:tab/>
      </w:r>
      <w:r>
        <w:fldChar w:fldCharType="begin"/>
      </w:r>
      <w:r>
        <w:instrText xml:space="preserve"> PAGEREF _Toc15773 </w:instrText>
      </w:r>
      <w:r>
        <w:fldChar w:fldCharType="separate"/>
      </w:r>
      <w:r>
        <w:t>7</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_Toc7432 </w:instrText>
      </w:r>
      <w:r>
        <w:rPr>
          <w:rFonts w:ascii="华文仿宋" w:hAnsi="华文仿宋" w:eastAsia="华文仿宋"/>
          <w:szCs w:val="21"/>
        </w:rPr>
        <w:fldChar w:fldCharType="separate"/>
      </w:r>
      <w:r>
        <w:rPr>
          <w:rFonts w:hint="eastAsia" w:ascii="仿宋" w:hAnsi="仿宋" w:eastAsia="仿宋"/>
        </w:rPr>
        <w:t>2.2.4公辅设施情况</w:t>
      </w:r>
      <w:r>
        <w:tab/>
      </w:r>
      <w:r>
        <w:fldChar w:fldCharType="begin"/>
      </w:r>
      <w:r>
        <w:instrText xml:space="preserve"> PAGEREF _Toc7432 </w:instrText>
      </w:r>
      <w:r>
        <w:fldChar w:fldCharType="separate"/>
      </w:r>
      <w:r>
        <w:t>11</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_Toc31266 </w:instrText>
      </w:r>
      <w:r>
        <w:rPr>
          <w:rFonts w:ascii="华文仿宋" w:hAnsi="华文仿宋" w:eastAsia="华文仿宋"/>
          <w:szCs w:val="21"/>
        </w:rPr>
        <w:fldChar w:fldCharType="separate"/>
      </w:r>
      <w:r>
        <w:rPr>
          <w:rFonts w:ascii="仿宋" w:hAnsi="仿宋" w:eastAsia="仿宋"/>
        </w:rPr>
        <w:t>2.2.</w:t>
      </w:r>
      <w:r>
        <w:rPr>
          <w:rFonts w:hint="eastAsia" w:ascii="仿宋" w:hAnsi="仿宋" w:eastAsia="仿宋"/>
        </w:rPr>
        <w:t>5</w:t>
      </w:r>
      <w:r>
        <w:rPr>
          <w:rFonts w:ascii="仿宋" w:hAnsi="仿宋" w:eastAsia="仿宋"/>
        </w:rPr>
        <w:t>污染物排放情况</w:t>
      </w:r>
      <w:r>
        <w:tab/>
      </w:r>
      <w:r>
        <w:fldChar w:fldCharType="begin"/>
      </w:r>
      <w:r>
        <w:instrText xml:space="preserve"> PAGEREF _Toc31266 </w:instrText>
      </w:r>
      <w:r>
        <w:fldChar w:fldCharType="separate"/>
      </w:r>
      <w:r>
        <w:t>11</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_Toc19382 </w:instrText>
      </w:r>
      <w:r>
        <w:rPr>
          <w:rFonts w:ascii="华文仿宋" w:hAnsi="华文仿宋" w:eastAsia="华文仿宋"/>
          <w:szCs w:val="21"/>
        </w:rPr>
        <w:fldChar w:fldCharType="separate"/>
      </w:r>
      <w:r>
        <w:rPr>
          <w:rFonts w:hint="eastAsia" w:ascii="仿宋" w:hAnsi="仿宋" w:eastAsia="仿宋"/>
        </w:rPr>
        <w:t>2.3</w:t>
      </w:r>
      <w:r>
        <w:rPr>
          <w:rFonts w:ascii="仿宋" w:hAnsi="仿宋" w:eastAsia="仿宋"/>
        </w:rPr>
        <w:t>企业周边环境及保护目标</w:t>
      </w:r>
      <w:r>
        <w:tab/>
      </w:r>
      <w:r>
        <w:fldChar w:fldCharType="begin"/>
      </w:r>
      <w:r>
        <w:instrText xml:space="preserve"> PAGEREF _Toc19382 </w:instrText>
      </w:r>
      <w:r>
        <w:fldChar w:fldCharType="separate"/>
      </w:r>
      <w:r>
        <w:t>14</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_Toc19331 </w:instrText>
      </w:r>
      <w:r>
        <w:rPr>
          <w:rFonts w:ascii="华文仿宋" w:hAnsi="华文仿宋" w:eastAsia="华文仿宋"/>
          <w:szCs w:val="21"/>
        </w:rPr>
        <w:fldChar w:fldCharType="separate"/>
      </w:r>
      <w:r>
        <w:rPr>
          <w:rFonts w:ascii="仿宋" w:hAnsi="仿宋" w:eastAsia="仿宋"/>
        </w:rPr>
        <w:t>3环境风险源与环境风险评价</w:t>
      </w:r>
      <w:r>
        <w:tab/>
      </w:r>
      <w:r>
        <w:fldChar w:fldCharType="begin"/>
      </w:r>
      <w:r>
        <w:instrText xml:space="preserve"> PAGEREF _Toc19331 </w:instrText>
      </w:r>
      <w:r>
        <w:fldChar w:fldCharType="separate"/>
      </w:r>
      <w:r>
        <w:t>16</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_Toc8432 </w:instrText>
      </w:r>
      <w:r>
        <w:rPr>
          <w:rFonts w:ascii="华文仿宋" w:hAnsi="华文仿宋" w:eastAsia="华文仿宋"/>
          <w:szCs w:val="21"/>
        </w:rPr>
        <w:fldChar w:fldCharType="separate"/>
      </w:r>
      <w:r>
        <w:rPr>
          <w:rFonts w:ascii="仿宋" w:hAnsi="仿宋" w:eastAsia="仿宋"/>
        </w:rPr>
        <w:t>3.1风险源识别</w:t>
      </w:r>
      <w:r>
        <w:tab/>
      </w:r>
      <w:r>
        <w:fldChar w:fldCharType="begin"/>
      </w:r>
      <w:r>
        <w:instrText xml:space="preserve"> PAGEREF _Toc8432 </w:instrText>
      </w:r>
      <w:r>
        <w:fldChar w:fldCharType="separate"/>
      </w:r>
      <w:r>
        <w:t>16</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_Toc19169 </w:instrText>
      </w:r>
      <w:r>
        <w:rPr>
          <w:rFonts w:ascii="华文仿宋" w:hAnsi="华文仿宋" w:eastAsia="华文仿宋"/>
          <w:szCs w:val="21"/>
        </w:rPr>
        <w:fldChar w:fldCharType="separate"/>
      </w:r>
      <w:r>
        <w:rPr>
          <w:rFonts w:ascii="仿宋" w:hAnsi="仿宋" w:eastAsia="仿宋"/>
        </w:rPr>
        <w:t>3.2环境风险评价结果</w:t>
      </w:r>
      <w:r>
        <w:tab/>
      </w:r>
      <w:r>
        <w:fldChar w:fldCharType="begin"/>
      </w:r>
      <w:r>
        <w:instrText xml:space="preserve"> PAGEREF _Toc19169 </w:instrText>
      </w:r>
      <w:r>
        <w:fldChar w:fldCharType="separate"/>
      </w:r>
      <w:r>
        <w:t>17</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_Toc5204 </w:instrText>
      </w:r>
      <w:r>
        <w:rPr>
          <w:rFonts w:ascii="华文仿宋" w:hAnsi="华文仿宋" w:eastAsia="华文仿宋"/>
          <w:szCs w:val="21"/>
        </w:rPr>
        <w:fldChar w:fldCharType="separate"/>
      </w:r>
      <w:r>
        <w:rPr>
          <w:rFonts w:ascii="仿宋" w:hAnsi="仿宋" w:eastAsia="仿宋"/>
        </w:rPr>
        <w:t>3.2.1重大危险源判别结果</w:t>
      </w:r>
      <w:r>
        <w:tab/>
      </w:r>
      <w:r>
        <w:fldChar w:fldCharType="begin"/>
      </w:r>
      <w:r>
        <w:instrText xml:space="preserve"> PAGEREF _Toc5204 </w:instrText>
      </w:r>
      <w:r>
        <w:fldChar w:fldCharType="separate"/>
      </w:r>
      <w:r>
        <w:t>17</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_Toc20567 </w:instrText>
      </w:r>
      <w:r>
        <w:rPr>
          <w:rFonts w:ascii="华文仿宋" w:hAnsi="华文仿宋" w:eastAsia="华文仿宋"/>
          <w:szCs w:val="21"/>
        </w:rPr>
        <w:fldChar w:fldCharType="separate"/>
      </w:r>
      <w:r>
        <w:rPr>
          <w:rFonts w:ascii="仿宋" w:hAnsi="仿宋" w:eastAsia="仿宋"/>
        </w:rPr>
        <w:t>3.2.2最大可信事故及概率</w:t>
      </w:r>
      <w:r>
        <w:tab/>
      </w:r>
      <w:r>
        <w:fldChar w:fldCharType="begin"/>
      </w:r>
      <w:r>
        <w:instrText xml:space="preserve"> PAGEREF _Toc20567 </w:instrText>
      </w:r>
      <w:r>
        <w:fldChar w:fldCharType="separate"/>
      </w:r>
      <w:r>
        <w:t>17</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_Toc18595 </w:instrText>
      </w:r>
      <w:r>
        <w:rPr>
          <w:rFonts w:ascii="华文仿宋" w:hAnsi="华文仿宋" w:eastAsia="华文仿宋"/>
          <w:szCs w:val="21"/>
        </w:rPr>
        <w:fldChar w:fldCharType="separate"/>
      </w:r>
      <w:r>
        <w:rPr>
          <w:rFonts w:ascii="仿宋" w:hAnsi="仿宋" w:eastAsia="仿宋"/>
        </w:rPr>
        <w:t>3.2.3风险可接受分析</w:t>
      </w:r>
      <w:r>
        <w:tab/>
      </w:r>
      <w:r>
        <w:fldChar w:fldCharType="begin"/>
      </w:r>
      <w:r>
        <w:instrText xml:space="preserve"> PAGEREF _Toc18595 </w:instrText>
      </w:r>
      <w:r>
        <w:fldChar w:fldCharType="separate"/>
      </w:r>
      <w:r>
        <w:t>18</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_Toc14963 </w:instrText>
      </w:r>
      <w:r>
        <w:rPr>
          <w:rFonts w:ascii="华文仿宋" w:hAnsi="华文仿宋" w:eastAsia="华文仿宋"/>
          <w:szCs w:val="21"/>
        </w:rPr>
        <w:fldChar w:fldCharType="separate"/>
      </w:r>
      <w:r>
        <w:rPr>
          <w:rFonts w:ascii="仿宋" w:hAnsi="仿宋" w:eastAsia="仿宋"/>
        </w:rPr>
        <w:t>4组织机构组成、职责及分工</w:t>
      </w:r>
      <w:r>
        <w:tab/>
      </w:r>
      <w:r>
        <w:fldChar w:fldCharType="begin"/>
      </w:r>
      <w:r>
        <w:instrText xml:space="preserve"> PAGEREF _Toc14963 </w:instrText>
      </w:r>
      <w:r>
        <w:fldChar w:fldCharType="separate"/>
      </w:r>
      <w:r>
        <w:t>18</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_Toc30168 </w:instrText>
      </w:r>
      <w:r>
        <w:rPr>
          <w:rFonts w:ascii="华文仿宋" w:hAnsi="华文仿宋" w:eastAsia="华文仿宋"/>
          <w:szCs w:val="21"/>
        </w:rPr>
        <w:fldChar w:fldCharType="separate"/>
      </w:r>
      <w:r>
        <w:rPr>
          <w:rFonts w:ascii="仿宋" w:hAnsi="仿宋" w:eastAsia="仿宋"/>
          <w:highlight w:val="none"/>
        </w:rPr>
        <w:t>4.1应急救援组织机构图</w:t>
      </w:r>
      <w:r>
        <w:tab/>
      </w:r>
      <w:r>
        <w:fldChar w:fldCharType="begin"/>
      </w:r>
      <w:r>
        <w:instrText xml:space="preserve"> PAGEREF _Toc30168 </w:instrText>
      </w:r>
      <w:r>
        <w:fldChar w:fldCharType="separate"/>
      </w:r>
      <w:r>
        <w:t>18</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_Toc28249 </w:instrText>
      </w:r>
      <w:r>
        <w:rPr>
          <w:rFonts w:ascii="华文仿宋" w:hAnsi="华文仿宋" w:eastAsia="华文仿宋"/>
          <w:szCs w:val="21"/>
        </w:rPr>
        <w:fldChar w:fldCharType="separate"/>
      </w:r>
      <w:r>
        <w:rPr>
          <w:rFonts w:ascii="仿宋" w:hAnsi="仿宋" w:eastAsia="仿宋"/>
        </w:rPr>
        <w:t>4.2应急救援机构组成及职责</w:t>
      </w:r>
      <w:r>
        <w:tab/>
      </w:r>
      <w:r>
        <w:fldChar w:fldCharType="begin"/>
      </w:r>
      <w:r>
        <w:instrText xml:space="preserve"> PAGEREF _Toc28249 </w:instrText>
      </w:r>
      <w:r>
        <w:fldChar w:fldCharType="separate"/>
      </w:r>
      <w:r>
        <w:t>18</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_Toc11576 </w:instrText>
      </w:r>
      <w:r>
        <w:rPr>
          <w:rFonts w:ascii="华文仿宋" w:hAnsi="华文仿宋" w:eastAsia="华文仿宋"/>
          <w:szCs w:val="21"/>
        </w:rPr>
        <w:fldChar w:fldCharType="separate"/>
      </w:r>
      <w:r>
        <w:rPr>
          <w:rFonts w:ascii="仿宋" w:hAnsi="仿宋" w:eastAsia="仿宋"/>
        </w:rPr>
        <w:t>4.2.1指挥机构组成</w:t>
      </w:r>
      <w:r>
        <w:tab/>
      </w:r>
      <w:r>
        <w:fldChar w:fldCharType="begin"/>
      </w:r>
      <w:r>
        <w:instrText xml:space="preserve"> PAGEREF _Toc11576 </w:instrText>
      </w:r>
      <w:r>
        <w:fldChar w:fldCharType="separate"/>
      </w:r>
      <w:r>
        <w:t>18</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_Toc15909 </w:instrText>
      </w:r>
      <w:r>
        <w:rPr>
          <w:rFonts w:ascii="华文仿宋" w:hAnsi="华文仿宋" w:eastAsia="华文仿宋"/>
          <w:szCs w:val="21"/>
        </w:rPr>
        <w:fldChar w:fldCharType="separate"/>
      </w:r>
      <w:r>
        <w:rPr>
          <w:rFonts w:ascii="仿宋" w:hAnsi="仿宋" w:eastAsia="仿宋"/>
        </w:rPr>
        <w:t>4.2.2 指挥机构主要职责</w:t>
      </w:r>
      <w:r>
        <w:tab/>
      </w:r>
      <w:r>
        <w:fldChar w:fldCharType="begin"/>
      </w:r>
      <w:r>
        <w:instrText xml:space="preserve"> PAGEREF _Toc15909 </w:instrText>
      </w:r>
      <w:r>
        <w:fldChar w:fldCharType="separate"/>
      </w:r>
      <w:r>
        <w:t>19</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_Toc3759 </w:instrText>
      </w:r>
      <w:r>
        <w:rPr>
          <w:rFonts w:ascii="华文仿宋" w:hAnsi="华文仿宋" w:eastAsia="华文仿宋"/>
          <w:szCs w:val="21"/>
        </w:rPr>
        <w:fldChar w:fldCharType="separate"/>
      </w:r>
      <w:r>
        <w:rPr>
          <w:rFonts w:ascii="仿宋" w:hAnsi="仿宋" w:eastAsia="仿宋"/>
        </w:rPr>
        <w:t>4.2.3指挥领导及各成员单位具体职责</w:t>
      </w:r>
      <w:r>
        <w:tab/>
      </w:r>
      <w:r>
        <w:fldChar w:fldCharType="begin"/>
      </w:r>
      <w:r>
        <w:instrText xml:space="preserve"> PAGEREF _Toc3759 </w:instrText>
      </w:r>
      <w:r>
        <w:fldChar w:fldCharType="separate"/>
      </w:r>
      <w:r>
        <w:t>20</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_Toc3918 </w:instrText>
      </w:r>
      <w:r>
        <w:rPr>
          <w:rFonts w:ascii="华文仿宋" w:hAnsi="华文仿宋" w:eastAsia="华文仿宋"/>
          <w:szCs w:val="21"/>
        </w:rPr>
        <w:fldChar w:fldCharType="separate"/>
      </w:r>
      <w:r>
        <w:rPr>
          <w:rFonts w:ascii="仿宋" w:hAnsi="仿宋" w:eastAsia="仿宋"/>
        </w:rPr>
        <w:t>5预防与预警</w:t>
      </w:r>
      <w:r>
        <w:tab/>
      </w:r>
      <w:r>
        <w:fldChar w:fldCharType="begin"/>
      </w:r>
      <w:r>
        <w:instrText xml:space="preserve"> PAGEREF _Toc3918 </w:instrText>
      </w:r>
      <w:r>
        <w:fldChar w:fldCharType="separate"/>
      </w:r>
      <w:r>
        <w:t>21</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_Toc557 </w:instrText>
      </w:r>
      <w:r>
        <w:rPr>
          <w:rFonts w:ascii="华文仿宋" w:hAnsi="华文仿宋" w:eastAsia="华文仿宋"/>
          <w:szCs w:val="21"/>
        </w:rPr>
        <w:fldChar w:fldCharType="separate"/>
      </w:r>
      <w:r>
        <w:rPr>
          <w:rFonts w:ascii="仿宋" w:hAnsi="仿宋" w:eastAsia="仿宋"/>
        </w:rPr>
        <w:t>5.1环境风险源监控</w:t>
      </w:r>
      <w:r>
        <w:tab/>
      </w:r>
      <w:r>
        <w:fldChar w:fldCharType="begin"/>
      </w:r>
      <w:r>
        <w:instrText xml:space="preserve"> PAGEREF _Toc557 </w:instrText>
      </w:r>
      <w:r>
        <w:fldChar w:fldCharType="separate"/>
      </w:r>
      <w:r>
        <w:t>21</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_Toc10508 </w:instrText>
      </w:r>
      <w:r>
        <w:rPr>
          <w:rFonts w:ascii="华文仿宋" w:hAnsi="华文仿宋" w:eastAsia="华文仿宋"/>
          <w:szCs w:val="21"/>
        </w:rPr>
        <w:fldChar w:fldCharType="separate"/>
      </w:r>
      <w:r>
        <w:rPr>
          <w:rFonts w:ascii="仿宋" w:hAnsi="仿宋" w:eastAsia="仿宋"/>
        </w:rPr>
        <w:t>5.1.1危险源监测监控的方式、方法</w:t>
      </w:r>
      <w:r>
        <w:tab/>
      </w:r>
      <w:r>
        <w:fldChar w:fldCharType="begin"/>
      </w:r>
      <w:r>
        <w:instrText xml:space="preserve"> PAGEREF _Toc10508 </w:instrText>
      </w:r>
      <w:r>
        <w:fldChar w:fldCharType="separate"/>
      </w:r>
      <w:r>
        <w:t>21</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_Toc23785 </w:instrText>
      </w:r>
      <w:r>
        <w:rPr>
          <w:rFonts w:ascii="华文仿宋" w:hAnsi="华文仿宋" w:eastAsia="华文仿宋"/>
          <w:szCs w:val="21"/>
        </w:rPr>
        <w:fldChar w:fldCharType="separate"/>
      </w:r>
      <w:r>
        <w:rPr>
          <w:rFonts w:ascii="仿宋" w:hAnsi="仿宋" w:eastAsia="仿宋"/>
        </w:rPr>
        <w:t>5.1.2预防措施</w:t>
      </w:r>
      <w:r>
        <w:tab/>
      </w:r>
      <w:r>
        <w:fldChar w:fldCharType="begin"/>
      </w:r>
      <w:r>
        <w:instrText xml:space="preserve"> PAGEREF _Toc23785 </w:instrText>
      </w:r>
      <w:r>
        <w:fldChar w:fldCharType="separate"/>
      </w:r>
      <w:r>
        <w:t>22</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_Toc4888 </w:instrText>
      </w:r>
      <w:r>
        <w:rPr>
          <w:rFonts w:ascii="华文仿宋" w:hAnsi="华文仿宋" w:eastAsia="华文仿宋"/>
          <w:szCs w:val="21"/>
        </w:rPr>
        <w:fldChar w:fldCharType="separate"/>
      </w:r>
      <w:r>
        <w:rPr>
          <w:rFonts w:ascii="仿宋" w:hAnsi="仿宋" w:eastAsia="仿宋"/>
        </w:rPr>
        <w:t>5.2预警行动</w:t>
      </w:r>
      <w:r>
        <w:tab/>
      </w:r>
      <w:r>
        <w:fldChar w:fldCharType="begin"/>
      </w:r>
      <w:r>
        <w:instrText xml:space="preserve"> PAGEREF _Toc4888 </w:instrText>
      </w:r>
      <w:r>
        <w:fldChar w:fldCharType="separate"/>
      </w:r>
      <w:r>
        <w:t>27</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_Toc22956 </w:instrText>
      </w:r>
      <w:r>
        <w:rPr>
          <w:rFonts w:ascii="华文仿宋" w:hAnsi="华文仿宋" w:eastAsia="华文仿宋"/>
          <w:szCs w:val="21"/>
        </w:rPr>
        <w:fldChar w:fldCharType="separate"/>
      </w:r>
      <w:r>
        <w:rPr>
          <w:rFonts w:ascii="仿宋" w:hAnsi="仿宋" w:eastAsia="仿宋"/>
        </w:rPr>
        <w:t>5.2.1预警分级</w:t>
      </w:r>
      <w:r>
        <w:tab/>
      </w:r>
      <w:r>
        <w:fldChar w:fldCharType="begin"/>
      </w:r>
      <w:r>
        <w:instrText xml:space="preserve"> PAGEREF _Toc22956 </w:instrText>
      </w:r>
      <w:r>
        <w:fldChar w:fldCharType="separate"/>
      </w:r>
      <w:r>
        <w:t>27</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_Toc28475 </w:instrText>
      </w:r>
      <w:r>
        <w:rPr>
          <w:rFonts w:ascii="华文仿宋" w:hAnsi="华文仿宋" w:eastAsia="华文仿宋"/>
          <w:szCs w:val="21"/>
        </w:rPr>
        <w:fldChar w:fldCharType="separate"/>
      </w:r>
      <w:r>
        <w:rPr>
          <w:rFonts w:ascii="仿宋" w:hAnsi="仿宋" w:eastAsia="仿宋"/>
        </w:rPr>
        <w:t>5.2.2预警发布</w:t>
      </w:r>
      <w:r>
        <w:tab/>
      </w:r>
      <w:r>
        <w:fldChar w:fldCharType="begin"/>
      </w:r>
      <w:r>
        <w:instrText xml:space="preserve"> PAGEREF _Toc28475 </w:instrText>
      </w:r>
      <w:r>
        <w:fldChar w:fldCharType="separate"/>
      </w:r>
      <w:r>
        <w:t>28</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_Toc17561 </w:instrText>
      </w:r>
      <w:r>
        <w:rPr>
          <w:rFonts w:ascii="华文仿宋" w:hAnsi="华文仿宋" w:eastAsia="华文仿宋"/>
          <w:szCs w:val="21"/>
        </w:rPr>
        <w:fldChar w:fldCharType="separate"/>
      </w:r>
      <w:r>
        <w:rPr>
          <w:rFonts w:ascii="仿宋" w:hAnsi="仿宋" w:eastAsia="仿宋"/>
        </w:rPr>
        <w:t>5.2.3预警响应</w:t>
      </w:r>
      <w:r>
        <w:tab/>
      </w:r>
      <w:r>
        <w:fldChar w:fldCharType="begin"/>
      </w:r>
      <w:r>
        <w:instrText xml:space="preserve"> PAGEREF _Toc17561 </w:instrText>
      </w:r>
      <w:r>
        <w:fldChar w:fldCharType="separate"/>
      </w:r>
      <w:r>
        <w:t>28</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_Toc19593 </w:instrText>
      </w:r>
      <w:r>
        <w:rPr>
          <w:rFonts w:ascii="华文仿宋" w:hAnsi="华文仿宋" w:eastAsia="华文仿宋"/>
          <w:szCs w:val="21"/>
        </w:rPr>
        <w:fldChar w:fldCharType="separate"/>
      </w:r>
      <w:r>
        <w:rPr>
          <w:rFonts w:ascii="仿宋" w:hAnsi="仿宋" w:eastAsia="仿宋"/>
        </w:rPr>
        <w:t>5.3 报警</w:t>
      </w:r>
      <w:r>
        <w:rPr>
          <w:rFonts w:hint="eastAsia" w:ascii="仿宋" w:hAnsi="仿宋" w:eastAsia="仿宋"/>
        </w:rPr>
        <w:t>、</w:t>
      </w:r>
      <w:r>
        <w:rPr>
          <w:rFonts w:ascii="仿宋" w:hAnsi="仿宋" w:eastAsia="仿宋"/>
        </w:rPr>
        <w:t>通讯联络方式</w:t>
      </w:r>
      <w:r>
        <w:tab/>
      </w:r>
      <w:r>
        <w:fldChar w:fldCharType="begin"/>
      </w:r>
      <w:r>
        <w:instrText xml:space="preserve"> PAGEREF _Toc19593 </w:instrText>
      </w:r>
      <w:r>
        <w:fldChar w:fldCharType="separate"/>
      </w:r>
      <w:r>
        <w:t>28</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_Toc32268 </w:instrText>
      </w:r>
      <w:r>
        <w:rPr>
          <w:rFonts w:ascii="华文仿宋" w:hAnsi="华文仿宋" w:eastAsia="华文仿宋"/>
          <w:szCs w:val="21"/>
        </w:rPr>
        <w:fldChar w:fldCharType="separate"/>
      </w:r>
      <w:r>
        <w:rPr>
          <w:rFonts w:ascii="仿宋" w:hAnsi="仿宋" w:eastAsia="仿宋"/>
        </w:rPr>
        <w:t>6信息报告与通报</w:t>
      </w:r>
      <w:r>
        <w:tab/>
      </w:r>
      <w:r>
        <w:fldChar w:fldCharType="begin"/>
      </w:r>
      <w:r>
        <w:instrText xml:space="preserve"> PAGEREF _Toc32268 </w:instrText>
      </w:r>
      <w:r>
        <w:fldChar w:fldCharType="separate"/>
      </w:r>
      <w:r>
        <w:t>28</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_Toc10553 </w:instrText>
      </w:r>
      <w:r>
        <w:rPr>
          <w:rFonts w:ascii="华文仿宋" w:hAnsi="华文仿宋" w:eastAsia="华文仿宋"/>
          <w:szCs w:val="21"/>
        </w:rPr>
        <w:fldChar w:fldCharType="separate"/>
      </w:r>
      <w:r>
        <w:rPr>
          <w:rFonts w:ascii="仿宋" w:hAnsi="仿宋" w:eastAsia="仿宋"/>
        </w:rPr>
        <w:t>6.1内部报告</w:t>
      </w:r>
      <w:r>
        <w:tab/>
      </w:r>
      <w:r>
        <w:fldChar w:fldCharType="begin"/>
      </w:r>
      <w:r>
        <w:instrText xml:space="preserve"> PAGEREF _Toc10553 </w:instrText>
      </w:r>
      <w:r>
        <w:fldChar w:fldCharType="separate"/>
      </w:r>
      <w:r>
        <w:t>28</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_Toc21887 </w:instrText>
      </w:r>
      <w:r>
        <w:rPr>
          <w:rFonts w:ascii="华文仿宋" w:hAnsi="华文仿宋" w:eastAsia="华文仿宋"/>
          <w:szCs w:val="21"/>
        </w:rPr>
        <w:fldChar w:fldCharType="separate"/>
      </w:r>
      <w:r>
        <w:rPr>
          <w:rFonts w:ascii="仿宋" w:hAnsi="仿宋" w:eastAsia="仿宋"/>
        </w:rPr>
        <w:t>6.2信息上报</w:t>
      </w:r>
      <w:r>
        <w:tab/>
      </w:r>
      <w:r>
        <w:fldChar w:fldCharType="begin"/>
      </w:r>
      <w:r>
        <w:instrText xml:space="preserve"> PAGEREF _Toc21887 </w:instrText>
      </w:r>
      <w:r>
        <w:fldChar w:fldCharType="separate"/>
      </w:r>
      <w:r>
        <w:t>29</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_Toc16505 </w:instrText>
      </w:r>
      <w:r>
        <w:rPr>
          <w:rFonts w:ascii="华文仿宋" w:hAnsi="华文仿宋" w:eastAsia="华文仿宋"/>
          <w:szCs w:val="21"/>
        </w:rPr>
        <w:fldChar w:fldCharType="separate"/>
      </w:r>
      <w:r>
        <w:rPr>
          <w:rFonts w:ascii="仿宋" w:hAnsi="仿宋" w:eastAsia="仿宋"/>
        </w:rPr>
        <w:t>6.3信息通报</w:t>
      </w:r>
      <w:r>
        <w:tab/>
      </w:r>
      <w:r>
        <w:fldChar w:fldCharType="begin"/>
      </w:r>
      <w:r>
        <w:instrText xml:space="preserve"> PAGEREF _Toc16505 </w:instrText>
      </w:r>
      <w:r>
        <w:fldChar w:fldCharType="separate"/>
      </w:r>
      <w:r>
        <w:t>29</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_Toc1179 </w:instrText>
      </w:r>
      <w:r>
        <w:rPr>
          <w:rFonts w:ascii="华文仿宋" w:hAnsi="华文仿宋" w:eastAsia="华文仿宋"/>
          <w:szCs w:val="21"/>
        </w:rPr>
        <w:fldChar w:fldCharType="separate"/>
      </w:r>
      <w:r>
        <w:rPr>
          <w:rFonts w:ascii="仿宋" w:hAnsi="仿宋" w:eastAsia="仿宋"/>
        </w:rPr>
        <w:t>6.4事件报告内容</w:t>
      </w:r>
      <w:r>
        <w:tab/>
      </w:r>
      <w:r>
        <w:fldChar w:fldCharType="begin"/>
      </w:r>
      <w:r>
        <w:instrText xml:space="preserve"> PAGEREF _Toc1179 </w:instrText>
      </w:r>
      <w:r>
        <w:fldChar w:fldCharType="separate"/>
      </w:r>
      <w:r>
        <w:t>29</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_Toc27571 </w:instrText>
      </w:r>
      <w:r>
        <w:rPr>
          <w:rFonts w:ascii="华文仿宋" w:hAnsi="华文仿宋" w:eastAsia="华文仿宋"/>
          <w:szCs w:val="21"/>
        </w:rPr>
        <w:fldChar w:fldCharType="separate"/>
      </w:r>
      <w:r>
        <w:rPr>
          <w:rFonts w:ascii="仿宋" w:hAnsi="仿宋" w:eastAsia="仿宋"/>
        </w:rPr>
        <w:t>7应急响应与措施</w:t>
      </w:r>
      <w:r>
        <w:tab/>
      </w:r>
      <w:r>
        <w:fldChar w:fldCharType="begin"/>
      </w:r>
      <w:r>
        <w:instrText xml:space="preserve"> PAGEREF _Toc27571 </w:instrText>
      </w:r>
      <w:r>
        <w:fldChar w:fldCharType="separate"/>
      </w:r>
      <w:r>
        <w:t>30</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_Toc5092 </w:instrText>
      </w:r>
      <w:r>
        <w:rPr>
          <w:rFonts w:ascii="华文仿宋" w:hAnsi="华文仿宋" w:eastAsia="华文仿宋"/>
          <w:szCs w:val="21"/>
        </w:rPr>
        <w:fldChar w:fldCharType="separate"/>
      </w:r>
      <w:r>
        <w:rPr>
          <w:rFonts w:ascii="仿宋" w:hAnsi="仿宋" w:eastAsia="仿宋"/>
        </w:rPr>
        <w:t>7.1分级响应机制</w:t>
      </w:r>
      <w:r>
        <w:tab/>
      </w:r>
      <w:r>
        <w:fldChar w:fldCharType="begin"/>
      </w:r>
      <w:r>
        <w:instrText xml:space="preserve"> PAGEREF _Toc5092 </w:instrText>
      </w:r>
      <w:r>
        <w:fldChar w:fldCharType="separate"/>
      </w:r>
      <w:r>
        <w:t>30</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_Toc23318 </w:instrText>
      </w:r>
      <w:r>
        <w:rPr>
          <w:rFonts w:ascii="华文仿宋" w:hAnsi="华文仿宋" w:eastAsia="华文仿宋"/>
          <w:szCs w:val="21"/>
        </w:rPr>
        <w:fldChar w:fldCharType="separate"/>
      </w:r>
      <w:r>
        <w:rPr>
          <w:rFonts w:ascii="仿宋" w:hAnsi="仿宋" w:eastAsia="仿宋"/>
        </w:rPr>
        <w:t>7.1.1分级响应条件</w:t>
      </w:r>
      <w:r>
        <w:tab/>
      </w:r>
      <w:r>
        <w:fldChar w:fldCharType="begin"/>
      </w:r>
      <w:r>
        <w:instrText xml:space="preserve"> PAGEREF _Toc23318 </w:instrText>
      </w:r>
      <w:r>
        <w:fldChar w:fldCharType="separate"/>
      </w:r>
      <w:r>
        <w:t>30</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_Toc32155 </w:instrText>
      </w:r>
      <w:r>
        <w:rPr>
          <w:rFonts w:ascii="华文仿宋" w:hAnsi="华文仿宋" w:eastAsia="华文仿宋"/>
          <w:szCs w:val="21"/>
        </w:rPr>
        <w:fldChar w:fldCharType="separate"/>
      </w:r>
      <w:r>
        <w:rPr>
          <w:rFonts w:ascii="仿宋" w:hAnsi="仿宋" w:eastAsia="仿宋"/>
        </w:rPr>
        <w:t>7.1.2分级响应机制</w:t>
      </w:r>
      <w:r>
        <w:tab/>
      </w:r>
      <w:r>
        <w:fldChar w:fldCharType="begin"/>
      </w:r>
      <w:r>
        <w:instrText xml:space="preserve"> PAGEREF _Toc32155 </w:instrText>
      </w:r>
      <w:r>
        <w:fldChar w:fldCharType="separate"/>
      </w:r>
      <w:r>
        <w:t>30</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_Toc18285 </w:instrText>
      </w:r>
      <w:r>
        <w:rPr>
          <w:rFonts w:ascii="华文仿宋" w:hAnsi="华文仿宋" w:eastAsia="华文仿宋"/>
          <w:szCs w:val="21"/>
        </w:rPr>
        <w:fldChar w:fldCharType="separate"/>
      </w:r>
      <w:r>
        <w:rPr>
          <w:rFonts w:ascii="仿宋" w:hAnsi="仿宋" w:eastAsia="仿宋"/>
        </w:rPr>
        <w:t>7.2应急措施</w:t>
      </w:r>
      <w:r>
        <w:tab/>
      </w:r>
      <w:r>
        <w:fldChar w:fldCharType="begin"/>
      </w:r>
      <w:r>
        <w:instrText xml:space="preserve"> PAGEREF _Toc18285 </w:instrText>
      </w:r>
      <w:r>
        <w:fldChar w:fldCharType="separate"/>
      </w:r>
      <w:r>
        <w:t>30</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_Toc18630 </w:instrText>
      </w:r>
      <w:r>
        <w:rPr>
          <w:rFonts w:ascii="华文仿宋" w:hAnsi="华文仿宋" w:eastAsia="华文仿宋"/>
          <w:szCs w:val="21"/>
        </w:rPr>
        <w:fldChar w:fldCharType="separate"/>
      </w:r>
      <w:r>
        <w:rPr>
          <w:rFonts w:ascii="仿宋" w:hAnsi="仿宋" w:eastAsia="仿宋"/>
        </w:rPr>
        <w:t>7.2.1现场应急措施</w:t>
      </w:r>
      <w:r>
        <w:tab/>
      </w:r>
      <w:r>
        <w:fldChar w:fldCharType="begin"/>
      </w:r>
      <w:r>
        <w:instrText xml:space="preserve"> PAGEREF _Toc18630 </w:instrText>
      </w:r>
      <w:r>
        <w:fldChar w:fldCharType="separate"/>
      </w:r>
      <w:r>
        <w:t>30</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_Toc3964 </w:instrText>
      </w:r>
      <w:r>
        <w:rPr>
          <w:rFonts w:ascii="华文仿宋" w:hAnsi="华文仿宋" w:eastAsia="华文仿宋"/>
          <w:szCs w:val="21"/>
        </w:rPr>
        <w:fldChar w:fldCharType="separate"/>
      </w:r>
      <w:r>
        <w:rPr>
          <w:rFonts w:ascii="仿宋" w:hAnsi="仿宋" w:eastAsia="仿宋"/>
        </w:rPr>
        <w:t>7.2.2大气污染事件保护目标的应急措施</w:t>
      </w:r>
      <w:r>
        <w:tab/>
      </w:r>
      <w:r>
        <w:fldChar w:fldCharType="begin"/>
      </w:r>
      <w:r>
        <w:instrText xml:space="preserve"> PAGEREF _Toc3964 </w:instrText>
      </w:r>
      <w:r>
        <w:fldChar w:fldCharType="separate"/>
      </w:r>
      <w:r>
        <w:t>32</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_Toc25994 </w:instrText>
      </w:r>
      <w:r>
        <w:rPr>
          <w:rFonts w:ascii="华文仿宋" w:hAnsi="华文仿宋" w:eastAsia="华文仿宋"/>
          <w:szCs w:val="21"/>
        </w:rPr>
        <w:fldChar w:fldCharType="separate"/>
      </w:r>
      <w:r>
        <w:rPr>
          <w:rFonts w:ascii="仿宋" w:hAnsi="仿宋" w:eastAsia="仿宋"/>
        </w:rPr>
        <w:t>7.2.3水污染事件保护目标的应急措施</w:t>
      </w:r>
      <w:r>
        <w:tab/>
      </w:r>
      <w:r>
        <w:fldChar w:fldCharType="begin"/>
      </w:r>
      <w:r>
        <w:instrText xml:space="preserve"> PAGEREF _Toc25994 </w:instrText>
      </w:r>
      <w:r>
        <w:fldChar w:fldCharType="separate"/>
      </w:r>
      <w:r>
        <w:t>33</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_Toc1406 </w:instrText>
      </w:r>
      <w:r>
        <w:rPr>
          <w:rFonts w:ascii="华文仿宋" w:hAnsi="华文仿宋" w:eastAsia="华文仿宋"/>
          <w:szCs w:val="21"/>
        </w:rPr>
        <w:fldChar w:fldCharType="separate"/>
      </w:r>
      <w:r>
        <w:rPr>
          <w:rFonts w:ascii="仿宋" w:hAnsi="仿宋" w:eastAsia="仿宋"/>
        </w:rPr>
        <w:t>7.2.5固废污染事件应急措施</w:t>
      </w:r>
      <w:r>
        <w:tab/>
      </w:r>
      <w:r>
        <w:fldChar w:fldCharType="begin"/>
      </w:r>
      <w:r>
        <w:instrText xml:space="preserve"> PAGEREF _Toc1406 </w:instrText>
      </w:r>
      <w:r>
        <w:fldChar w:fldCharType="separate"/>
      </w:r>
      <w:r>
        <w:t>34</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_Toc7477 </w:instrText>
      </w:r>
      <w:r>
        <w:rPr>
          <w:rFonts w:ascii="华文仿宋" w:hAnsi="华文仿宋" w:eastAsia="华文仿宋"/>
          <w:szCs w:val="21"/>
        </w:rPr>
        <w:fldChar w:fldCharType="separate"/>
      </w:r>
      <w:r>
        <w:rPr>
          <w:rFonts w:ascii="仿宋" w:hAnsi="仿宋" w:eastAsia="仿宋"/>
        </w:rPr>
        <w:t>7.2.6事故现场人员清点、撤离方式、方法</w:t>
      </w:r>
      <w:r>
        <w:tab/>
      </w:r>
      <w:r>
        <w:fldChar w:fldCharType="begin"/>
      </w:r>
      <w:r>
        <w:instrText xml:space="preserve"> PAGEREF _Toc7477 </w:instrText>
      </w:r>
      <w:r>
        <w:fldChar w:fldCharType="separate"/>
      </w:r>
      <w:r>
        <w:t>35</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_Toc5510 </w:instrText>
      </w:r>
      <w:r>
        <w:rPr>
          <w:rFonts w:ascii="华文仿宋" w:hAnsi="华文仿宋" w:eastAsia="华文仿宋"/>
          <w:szCs w:val="21"/>
        </w:rPr>
        <w:fldChar w:fldCharType="separate"/>
      </w:r>
      <w:r>
        <w:rPr>
          <w:rFonts w:ascii="仿宋" w:hAnsi="仿宋" w:eastAsia="仿宋"/>
        </w:rPr>
        <w:t>7.3应急监测</w:t>
      </w:r>
      <w:r>
        <w:tab/>
      </w:r>
      <w:r>
        <w:fldChar w:fldCharType="begin"/>
      </w:r>
      <w:r>
        <w:instrText xml:space="preserve"> PAGEREF _Toc5510 </w:instrText>
      </w:r>
      <w:r>
        <w:fldChar w:fldCharType="separate"/>
      </w:r>
      <w:r>
        <w:t>35</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_Toc15271 </w:instrText>
      </w:r>
      <w:r>
        <w:rPr>
          <w:rFonts w:ascii="华文仿宋" w:hAnsi="华文仿宋" w:eastAsia="华文仿宋"/>
          <w:szCs w:val="21"/>
        </w:rPr>
        <w:fldChar w:fldCharType="separate"/>
      </w:r>
      <w:r>
        <w:rPr>
          <w:rFonts w:ascii="仿宋" w:hAnsi="仿宋" w:eastAsia="仿宋"/>
        </w:rPr>
        <w:t>7.4应急终止</w:t>
      </w:r>
      <w:r>
        <w:tab/>
      </w:r>
      <w:r>
        <w:fldChar w:fldCharType="begin"/>
      </w:r>
      <w:r>
        <w:instrText xml:space="preserve"> PAGEREF _Toc15271 </w:instrText>
      </w:r>
      <w:r>
        <w:fldChar w:fldCharType="separate"/>
      </w:r>
      <w:r>
        <w:t>36</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_Toc29629 </w:instrText>
      </w:r>
      <w:r>
        <w:rPr>
          <w:rFonts w:ascii="华文仿宋" w:hAnsi="华文仿宋" w:eastAsia="华文仿宋"/>
          <w:szCs w:val="21"/>
        </w:rPr>
        <w:fldChar w:fldCharType="separate"/>
      </w:r>
      <w:r>
        <w:rPr>
          <w:rFonts w:ascii="仿宋" w:hAnsi="仿宋" w:eastAsia="仿宋"/>
        </w:rPr>
        <w:t>7.4.1应急终止的条件</w:t>
      </w:r>
      <w:r>
        <w:tab/>
      </w:r>
      <w:r>
        <w:fldChar w:fldCharType="begin"/>
      </w:r>
      <w:r>
        <w:instrText xml:space="preserve"> PAGEREF _Toc29629 </w:instrText>
      </w:r>
      <w:r>
        <w:fldChar w:fldCharType="separate"/>
      </w:r>
      <w:r>
        <w:t>36</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_Toc1277 </w:instrText>
      </w:r>
      <w:r>
        <w:rPr>
          <w:rFonts w:ascii="华文仿宋" w:hAnsi="华文仿宋" w:eastAsia="华文仿宋"/>
          <w:szCs w:val="21"/>
        </w:rPr>
        <w:fldChar w:fldCharType="separate"/>
      </w:r>
      <w:r>
        <w:rPr>
          <w:rFonts w:ascii="仿宋" w:hAnsi="仿宋" w:eastAsia="仿宋"/>
        </w:rPr>
        <w:t>7.4.2应急终止的程序</w:t>
      </w:r>
      <w:r>
        <w:tab/>
      </w:r>
      <w:r>
        <w:fldChar w:fldCharType="begin"/>
      </w:r>
      <w:r>
        <w:instrText xml:space="preserve"> PAGEREF _Toc1277 </w:instrText>
      </w:r>
      <w:r>
        <w:fldChar w:fldCharType="separate"/>
      </w:r>
      <w:r>
        <w:t>36</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_Toc14819 </w:instrText>
      </w:r>
      <w:r>
        <w:rPr>
          <w:rFonts w:ascii="华文仿宋" w:hAnsi="华文仿宋" w:eastAsia="华文仿宋"/>
          <w:szCs w:val="21"/>
        </w:rPr>
        <w:fldChar w:fldCharType="separate"/>
      </w:r>
      <w:r>
        <w:rPr>
          <w:rFonts w:ascii="仿宋" w:hAnsi="仿宋" w:eastAsia="仿宋"/>
        </w:rPr>
        <w:t>7.5应急终止后的行动</w:t>
      </w:r>
      <w:r>
        <w:tab/>
      </w:r>
      <w:r>
        <w:fldChar w:fldCharType="begin"/>
      </w:r>
      <w:r>
        <w:instrText xml:space="preserve"> PAGEREF _Toc14819 </w:instrText>
      </w:r>
      <w:r>
        <w:fldChar w:fldCharType="separate"/>
      </w:r>
      <w:r>
        <w:t>36</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_Toc25009 </w:instrText>
      </w:r>
      <w:r>
        <w:rPr>
          <w:rFonts w:ascii="华文仿宋" w:hAnsi="华文仿宋" w:eastAsia="华文仿宋"/>
          <w:szCs w:val="21"/>
        </w:rPr>
        <w:fldChar w:fldCharType="separate"/>
      </w:r>
      <w:r>
        <w:rPr>
          <w:rFonts w:ascii="仿宋" w:hAnsi="仿宋" w:eastAsia="仿宋"/>
        </w:rPr>
        <w:t>8后期处置</w:t>
      </w:r>
      <w:r>
        <w:tab/>
      </w:r>
      <w:r>
        <w:fldChar w:fldCharType="begin"/>
      </w:r>
      <w:r>
        <w:instrText xml:space="preserve"> PAGEREF _Toc25009 </w:instrText>
      </w:r>
      <w:r>
        <w:fldChar w:fldCharType="separate"/>
      </w:r>
      <w:r>
        <w:t>37</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_Toc21879 </w:instrText>
      </w:r>
      <w:r>
        <w:rPr>
          <w:rFonts w:ascii="华文仿宋" w:hAnsi="华文仿宋" w:eastAsia="华文仿宋"/>
          <w:szCs w:val="21"/>
        </w:rPr>
        <w:fldChar w:fldCharType="separate"/>
      </w:r>
      <w:r>
        <w:rPr>
          <w:rFonts w:ascii="仿宋" w:hAnsi="仿宋" w:eastAsia="仿宋"/>
        </w:rPr>
        <w:t>善后处置</w:t>
      </w:r>
      <w:r>
        <w:tab/>
      </w:r>
      <w:r>
        <w:fldChar w:fldCharType="begin"/>
      </w:r>
      <w:r>
        <w:instrText xml:space="preserve"> PAGEREF _Toc21879 </w:instrText>
      </w:r>
      <w:r>
        <w:fldChar w:fldCharType="separate"/>
      </w:r>
      <w:r>
        <w:t>37</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_Toc15493 </w:instrText>
      </w:r>
      <w:r>
        <w:rPr>
          <w:rFonts w:ascii="华文仿宋" w:hAnsi="华文仿宋" w:eastAsia="华文仿宋"/>
          <w:szCs w:val="21"/>
        </w:rPr>
        <w:fldChar w:fldCharType="separate"/>
      </w:r>
      <w:r>
        <w:rPr>
          <w:rFonts w:ascii="仿宋" w:hAnsi="仿宋" w:eastAsia="仿宋"/>
        </w:rPr>
        <w:t>9应急培训和演练</w:t>
      </w:r>
      <w:r>
        <w:tab/>
      </w:r>
      <w:r>
        <w:fldChar w:fldCharType="begin"/>
      </w:r>
      <w:r>
        <w:instrText xml:space="preserve"> PAGEREF _Toc15493 </w:instrText>
      </w:r>
      <w:r>
        <w:fldChar w:fldCharType="separate"/>
      </w:r>
      <w:r>
        <w:t>38</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_Toc29804 </w:instrText>
      </w:r>
      <w:r>
        <w:rPr>
          <w:rFonts w:ascii="华文仿宋" w:hAnsi="华文仿宋" w:eastAsia="华文仿宋"/>
          <w:szCs w:val="21"/>
        </w:rPr>
        <w:fldChar w:fldCharType="separate"/>
      </w:r>
      <w:r>
        <w:rPr>
          <w:rFonts w:ascii="仿宋" w:hAnsi="仿宋" w:eastAsia="仿宋"/>
        </w:rPr>
        <w:t>9.1培训</w:t>
      </w:r>
      <w:r>
        <w:tab/>
      </w:r>
      <w:r>
        <w:fldChar w:fldCharType="begin"/>
      </w:r>
      <w:r>
        <w:instrText xml:space="preserve"> PAGEREF _Toc29804 </w:instrText>
      </w:r>
      <w:r>
        <w:fldChar w:fldCharType="separate"/>
      </w:r>
      <w:r>
        <w:t>38</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_Toc10482 </w:instrText>
      </w:r>
      <w:r>
        <w:rPr>
          <w:rFonts w:ascii="华文仿宋" w:hAnsi="华文仿宋" w:eastAsia="华文仿宋"/>
          <w:szCs w:val="21"/>
        </w:rPr>
        <w:fldChar w:fldCharType="separate"/>
      </w:r>
      <w:r>
        <w:rPr>
          <w:rFonts w:ascii="仿宋" w:hAnsi="仿宋" w:eastAsia="仿宋"/>
        </w:rPr>
        <w:t>9.1.1培训要求</w:t>
      </w:r>
      <w:r>
        <w:tab/>
      </w:r>
      <w:r>
        <w:fldChar w:fldCharType="begin"/>
      </w:r>
      <w:r>
        <w:instrText xml:space="preserve"> PAGEREF _Toc10482 </w:instrText>
      </w:r>
      <w:r>
        <w:fldChar w:fldCharType="separate"/>
      </w:r>
      <w:r>
        <w:t>38</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_Toc19555 </w:instrText>
      </w:r>
      <w:r>
        <w:rPr>
          <w:rFonts w:ascii="华文仿宋" w:hAnsi="华文仿宋" w:eastAsia="华文仿宋"/>
          <w:szCs w:val="21"/>
        </w:rPr>
        <w:fldChar w:fldCharType="separate"/>
      </w:r>
      <w:r>
        <w:rPr>
          <w:rFonts w:ascii="仿宋" w:hAnsi="仿宋" w:eastAsia="仿宋"/>
        </w:rPr>
        <w:t>9.1.2人员培训时间和内容</w:t>
      </w:r>
      <w:r>
        <w:tab/>
      </w:r>
      <w:r>
        <w:fldChar w:fldCharType="begin"/>
      </w:r>
      <w:r>
        <w:instrText xml:space="preserve"> PAGEREF _Toc19555 </w:instrText>
      </w:r>
      <w:r>
        <w:fldChar w:fldCharType="separate"/>
      </w:r>
      <w:r>
        <w:t>38</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_Toc24055 </w:instrText>
      </w:r>
      <w:r>
        <w:rPr>
          <w:rFonts w:ascii="华文仿宋" w:hAnsi="华文仿宋" w:eastAsia="华文仿宋"/>
          <w:szCs w:val="21"/>
        </w:rPr>
        <w:fldChar w:fldCharType="separate"/>
      </w:r>
      <w:r>
        <w:rPr>
          <w:rFonts w:ascii="仿宋" w:hAnsi="仿宋" w:eastAsia="仿宋"/>
        </w:rPr>
        <w:t>9.1.3外部公众教育和信息</w:t>
      </w:r>
      <w:r>
        <w:tab/>
      </w:r>
      <w:r>
        <w:fldChar w:fldCharType="begin"/>
      </w:r>
      <w:r>
        <w:instrText xml:space="preserve"> PAGEREF _Toc24055 </w:instrText>
      </w:r>
      <w:r>
        <w:fldChar w:fldCharType="separate"/>
      </w:r>
      <w:r>
        <w:t>39</w:t>
      </w:r>
      <w:r>
        <w:fldChar w:fldCharType="end"/>
      </w:r>
      <w:r>
        <w:rPr>
          <w:rFonts w:ascii="华文仿宋" w:hAnsi="华文仿宋" w:eastAsia="华文仿宋"/>
          <w:color w:val="FF0000"/>
          <w:szCs w:val="21"/>
        </w:rPr>
        <w:fldChar w:fldCharType="end"/>
      </w:r>
    </w:p>
    <w:p>
      <w:pPr>
        <w:pStyle w:val="16"/>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_Toc14516 </w:instrText>
      </w:r>
      <w:r>
        <w:rPr>
          <w:rFonts w:ascii="华文仿宋" w:hAnsi="华文仿宋" w:eastAsia="华文仿宋"/>
          <w:szCs w:val="21"/>
        </w:rPr>
        <w:fldChar w:fldCharType="separate"/>
      </w:r>
      <w:r>
        <w:rPr>
          <w:rFonts w:ascii="仿宋" w:hAnsi="仿宋" w:eastAsia="仿宋"/>
        </w:rPr>
        <w:t>9.1.4员工培训的记录和考核</w:t>
      </w:r>
      <w:r>
        <w:tab/>
      </w:r>
      <w:r>
        <w:fldChar w:fldCharType="begin"/>
      </w:r>
      <w:r>
        <w:instrText xml:space="preserve"> PAGEREF _Toc14516 </w:instrText>
      </w:r>
      <w:r>
        <w:fldChar w:fldCharType="separate"/>
      </w:r>
      <w:r>
        <w:t>39</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_Toc12412 </w:instrText>
      </w:r>
      <w:r>
        <w:rPr>
          <w:rFonts w:ascii="华文仿宋" w:hAnsi="华文仿宋" w:eastAsia="华文仿宋"/>
          <w:szCs w:val="21"/>
        </w:rPr>
        <w:fldChar w:fldCharType="separate"/>
      </w:r>
      <w:r>
        <w:rPr>
          <w:rFonts w:ascii="仿宋" w:hAnsi="仿宋" w:eastAsia="仿宋"/>
        </w:rPr>
        <w:t>9.2演练</w:t>
      </w:r>
      <w:r>
        <w:tab/>
      </w:r>
      <w:r>
        <w:fldChar w:fldCharType="begin"/>
      </w:r>
      <w:r>
        <w:instrText xml:space="preserve"> PAGEREF _Toc12412 </w:instrText>
      </w:r>
      <w:r>
        <w:fldChar w:fldCharType="separate"/>
      </w:r>
      <w:r>
        <w:t>39</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_Toc19927 </w:instrText>
      </w:r>
      <w:r>
        <w:rPr>
          <w:rFonts w:ascii="华文仿宋" w:hAnsi="华文仿宋" w:eastAsia="华文仿宋"/>
          <w:szCs w:val="21"/>
        </w:rPr>
        <w:fldChar w:fldCharType="separate"/>
      </w:r>
      <w:r>
        <w:rPr>
          <w:rFonts w:ascii="仿宋" w:hAnsi="仿宋" w:eastAsia="仿宋"/>
        </w:rPr>
        <w:t>10奖惩</w:t>
      </w:r>
      <w:r>
        <w:tab/>
      </w:r>
      <w:r>
        <w:fldChar w:fldCharType="begin"/>
      </w:r>
      <w:r>
        <w:instrText xml:space="preserve"> PAGEREF _Toc19927 </w:instrText>
      </w:r>
      <w:r>
        <w:fldChar w:fldCharType="separate"/>
      </w:r>
      <w:r>
        <w:t>41</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_Toc20897 </w:instrText>
      </w:r>
      <w:r>
        <w:rPr>
          <w:rFonts w:ascii="华文仿宋" w:hAnsi="华文仿宋" w:eastAsia="华文仿宋"/>
          <w:szCs w:val="21"/>
        </w:rPr>
        <w:fldChar w:fldCharType="separate"/>
      </w:r>
      <w:r>
        <w:rPr>
          <w:rFonts w:ascii="仿宋" w:hAnsi="仿宋" w:eastAsia="仿宋"/>
        </w:rPr>
        <w:t>11保障措施</w:t>
      </w:r>
      <w:r>
        <w:tab/>
      </w:r>
      <w:r>
        <w:fldChar w:fldCharType="begin"/>
      </w:r>
      <w:r>
        <w:instrText xml:space="preserve"> PAGEREF _Toc20897 </w:instrText>
      </w:r>
      <w:r>
        <w:fldChar w:fldCharType="separate"/>
      </w:r>
      <w:r>
        <w:t>42</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_Toc13537 </w:instrText>
      </w:r>
      <w:r>
        <w:rPr>
          <w:rFonts w:ascii="华文仿宋" w:hAnsi="华文仿宋" w:eastAsia="华文仿宋"/>
          <w:szCs w:val="21"/>
        </w:rPr>
        <w:fldChar w:fldCharType="separate"/>
      </w:r>
      <w:r>
        <w:rPr>
          <w:rFonts w:ascii="仿宋" w:hAnsi="仿宋" w:eastAsia="仿宋"/>
        </w:rPr>
        <w:t>11.1经费及其他保障</w:t>
      </w:r>
      <w:r>
        <w:tab/>
      </w:r>
      <w:r>
        <w:fldChar w:fldCharType="begin"/>
      </w:r>
      <w:r>
        <w:instrText xml:space="preserve"> PAGEREF _Toc13537 </w:instrText>
      </w:r>
      <w:r>
        <w:fldChar w:fldCharType="separate"/>
      </w:r>
      <w:r>
        <w:t>42</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_Toc30899 </w:instrText>
      </w:r>
      <w:r>
        <w:rPr>
          <w:rFonts w:ascii="华文仿宋" w:hAnsi="华文仿宋" w:eastAsia="华文仿宋"/>
          <w:szCs w:val="21"/>
        </w:rPr>
        <w:fldChar w:fldCharType="separate"/>
      </w:r>
      <w:r>
        <w:rPr>
          <w:rFonts w:ascii="仿宋" w:hAnsi="仿宋" w:eastAsia="仿宋"/>
        </w:rPr>
        <w:t>11.2应急物资装备保障</w:t>
      </w:r>
      <w:r>
        <w:tab/>
      </w:r>
      <w:r>
        <w:fldChar w:fldCharType="begin"/>
      </w:r>
      <w:r>
        <w:instrText xml:space="preserve"> PAGEREF _Toc30899 </w:instrText>
      </w:r>
      <w:r>
        <w:fldChar w:fldCharType="separate"/>
      </w:r>
      <w:r>
        <w:t>42</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_Toc30779 </w:instrText>
      </w:r>
      <w:r>
        <w:rPr>
          <w:rFonts w:ascii="华文仿宋" w:hAnsi="华文仿宋" w:eastAsia="华文仿宋"/>
          <w:szCs w:val="21"/>
        </w:rPr>
        <w:fldChar w:fldCharType="separate"/>
      </w:r>
      <w:r>
        <w:rPr>
          <w:rFonts w:ascii="仿宋" w:hAnsi="仿宋" w:eastAsia="仿宋"/>
        </w:rPr>
        <w:t>11.3应急队伍保障</w:t>
      </w:r>
      <w:r>
        <w:tab/>
      </w:r>
      <w:r>
        <w:fldChar w:fldCharType="begin"/>
      </w:r>
      <w:r>
        <w:instrText xml:space="preserve"> PAGEREF _Toc30779 </w:instrText>
      </w:r>
      <w:r>
        <w:fldChar w:fldCharType="separate"/>
      </w:r>
      <w:r>
        <w:t>42</w:t>
      </w:r>
      <w:r>
        <w:fldChar w:fldCharType="end"/>
      </w:r>
      <w:r>
        <w:rPr>
          <w:rFonts w:ascii="华文仿宋" w:hAnsi="华文仿宋" w:eastAsia="华文仿宋"/>
          <w:color w:val="FF0000"/>
          <w:szCs w:val="21"/>
        </w:rPr>
        <w:fldChar w:fldCharType="end"/>
      </w:r>
    </w:p>
    <w:p>
      <w:pPr>
        <w:pStyle w:val="27"/>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_Toc7580 </w:instrText>
      </w:r>
      <w:r>
        <w:rPr>
          <w:rFonts w:ascii="华文仿宋" w:hAnsi="华文仿宋" w:eastAsia="华文仿宋"/>
          <w:szCs w:val="21"/>
        </w:rPr>
        <w:fldChar w:fldCharType="separate"/>
      </w:r>
      <w:r>
        <w:rPr>
          <w:rFonts w:ascii="仿宋" w:hAnsi="仿宋" w:eastAsia="仿宋"/>
        </w:rPr>
        <w:t>11.4通信与信息保障</w:t>
      </w:r>
      <w:r>
        <w:tab/>
      </w:r>
      <w:r>
        <w:fldChar w:fldCharType="begin"/>
      </w:r>
      <w:r>
        <w:instrText xml:space="preserve"> PAGEREF _Toc7580 </w:instrText>
      </w:r>
      <w:r>
        <w:fldChar w:fldCharType="separate"/>
      </w:r>
      <w:r>
        <w:t>43</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_Toc29371 </w:instrText>
      </w:r>
      <w:r>
        <w:rPr>
          <w:rFonts w:ascii="华文仿宋" w:hAnsi="华文仿宋" w:eastAsia="华文仿宋"/>
          <w:szCs w:val="21"/>
        </w:rPr>
        <w:fldChar w:fldCharType="separate"/>
      </w:r>
      <w:r>
        <w:rPr>
          <w:rFonts w:ascii="仿宋" w:hAnsi="仿宋" w:eastAsia="仿宋"/>
        </w:rPr>
        <w:t>12预案的评审备案发布和更新</w:t>
      </w:r>
      <w:r>
        <w:tab/>
      </w:r>
      <w:r>
        <w:fldChar w:fldCharType="begin"/>
      </w:r>
      <w:r>
        <w:instrText xml:space="preserve"> PAGEREF _Toc29371 </w:instrText>
      </w:r>
      <w:r>
        <w:fldChar w:fldCharType="separate"/>
      </w:r>
      <w:r>
        <w:t>43</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_Toc20491 </w:instrText>
      </w:r>
      <w:r>
        <w:rPr>
          <w:rFonts w:ascii="华文仿宋" w:hAnsi="华文仿宋" w:eastAsia="华文仿宋"/>
          <w:szCs w:val="21"/>
        </w:rPr>
        <w:fldChar w:fldCharType="separate"/>
      </w:r>
      <w:r>
        <w:rPr>
          <w:rFonts w:ascii="仿宋" w:hAnsi="仿宋" w:eastAsia="仿宋"/>
        </w:rPr>
        <w:t>13预案的实施和生效时间</w:t>
      </w:r>
      <w:r>
        <w:tab/>
      </w:r>
      <w:r>
        <w:fldChar w:fldCharType="begin"/>
      </w:r>
      <w:r>
        <w:instrText xml:space="preserve"> PAGEREF _Toc20491 </w:instrText>
      </w:r>
      <w:r>
        <w:fldChar w:fldCharType="separate"/>
      </w:r>
      <w:r>
        <w:t>44</w:t>
      </w:r>
      <w:r>
        <w:fldChar w:fldCharType="end"/>
      </w:r>
      <w:r>
        <w:rPr>
          <w:rFonts w:ascii="华文仿宋" w:hAnsi="华文仿宋" w:eastAsia="华文仿宋"/>
          <w:color w:val="FF0000"/>
          <w:szCs w:val="21"/>
        </w:rPr>
        <w:fldChar w:fldCharType="end"/>
      </w:r>
    </w:p>
    <w:p>
      <w:pPr>
        <w:pStyle w:val="23"/>
        <w:tabs>
          <w:tab w:val="right" w:leader="dot" w:pos="9356"/>
          <w:tab w:val="clear" w:pos="9072"/>
        </w:tabs>
      </w:pPr>
      <w:r>
        <w:rPr>
          <w:rFonts w:ascii="华文仿宋" w:hAnsi="华文仿宋" w:eastAsia="华文仿宋"/>
          <w:color w:val="FF0000"/>
          <w:szCs w:val="21"/>
        </w:rPr>
        <w:fldChar w:fldCharType="begin"/>
      </w:r>
      <w:r>
        <w:rPr>
          <w:rFonts w:ascii="华文仿宋" w:hAnsi="华文仿宋" w:eastAsia="华文仿宋"/>
          <w:szCs w:val="21"/>
        </w:rPr>
        <w:instrText xml:space="preserve"> HYPERLINK \l _Toc23743 </w:instrText>
      </w:r>
      <w:r>
        <w:rPr>
          <w:rFonts w:ascii="华文仿宋" w:hAnsi="华文仿宋" w:eastAsia="华文仿宋"/>
          <w:szCs w:val="21"/>
        </w:rPr>
        <w:fldChar w:fldCharType="separate"/>
      </w:r>
      <w:r>
        <w:rPr>
          <w:rFonts w:ascii="仿宋" w:hAnsi="仿宋" w:eastAsia="仿宋"/>
        </w:rPr>
        <w:t>14 附件</w:t>
      </w:r>
      <w:r>
        <w:tab/>
      </w:r>
      <w:r>
        <w:fldChar w:fldCharType="begin"/>
      </w:r>
      <w:r>
        <w:instrText xml:space="preserve"> PAGEREF _Toc23743 </w:instrText>
      </w:r>
      <w:r>
        <w:fldChar w:fldCharType="separate"/>
      </w:r>
      <w:r>
        <w:t>44</w:t>
      </w:r>
      <w:r>
        <w:fldChar w:fldCharType="end"/>
      </w:r>
      <w:r>
        <w:rPr>
          <w:rFonts w:ascii="华文仿宋" w:hAnsi="华文仿宋" w:eastAsia="华文仿宋"/>
          <w:color w:val="FF0000"/>
          <w:szCs w:val="21"/>
        </w:rPr>
        <w:fldChar w:fldCharType="end"/>
      </w:r>
    </w:p>
    <w:p>
      <w:pPr>
        <w:spacing w:line="300" w:lineRule="exact"/>
        <w:ind w:left="280" w:right="280" w:firstLine="420"/>
        <w:jc w:val="left"/>
        <w:rPr>
          <w:rFonts w:ascii="华文仿宋" w:hAnsi="华文仿宋" w:eastAsia="华文仿宋"/>
          <w:color w:val="FF0000"/>
          <w:szCs w:val="21"/>
        </w:rPr>
      </w:pPr>
      <w:r>
        <w:rPr>
          <w:rFonts w:ascii="华文仿宋" w:hAnsi="华文仿宋" w:eastAsia="华文仿宋"/>
          <w:color w:val="FF0000"/>
          <w:szCs w:val="21"/>
        </w:rPr>
        <w:fldChar w:fldCharType="end"/>
      </w:r>
    </w:p>
    <w:p>
      <w:pPr>
        <w:ind w:left="280" w:right="280" w:firstLine="551" w:firstLineChars="197"/>
        <w:jc w:val="left"/>
        <w:rPr>
          <w:rFonts w:ascii="华文仿宋" w:hAnsi="华文仿宋" w:eastAsia="华文仿宋"/>
          <w:color w:val="FF0000"/>
          <w:szCs w:val="21"/>
        </w:rPr>
        <w:sectPr>
          <w:headerReference r:id="rId3" w:type="default"/>
          <w:footerReference r:id="rId4" w:type="default"/>
          <w:pgSz w:w="11906" w:h="16838"/>
          <w:pgMar w:top="1440" w:right="1274" w:bottom="1440" w:left="1276" w:header="851" w:footer="992" w:gutter="0"/>
          <w:pgNumType w:fmt="lowerRoman" w:start="1"/>
          <w:cols w:space="425" w:num="1"/>
          <w:docGrid w:type="lines" w:linePitch="312" w:charSpace="0"/>
        </w:sectPr>
      </w:pPr>
    </w:p>
    <w:p>
      <w:pPr>
        <w:pStyle w:val="2"/>
        <w:rPr>
          <w:rFonts w:ascii="华文仿宋" w:hAnsi="华文仿宋" w:eastAsia="华文仿宋"/>
        </w:rPr>
      </w:pPr>
      <w:bookmarkStart w:id="2" w:name="_Toc278186378"/>
      <w:bookmarkStart w:id="3" w:name="_Toc6535"/>
      <w:bookmarkStart w:id="4" w:name="_Toc243813809"/>
      <w:bookmarkStart w:id="5" w:name="_Toc328731282"/>
      <w:bookmarkStart w:id="6" w:name="_Toc243967865"/>
      <w:bookmarkStart w:id="7" w:name="_Toc243967959"/>
      <w:r>
        <w:rPr>
          <w:rFonts w:ascii="华文仿宋" w:hAnsi="华文仿宋" w:eastAsia="华文仿宋"/>
        </w:rPr>
        <w:t>1总则</w:t>
      </w:r>
      <w:bookmarkEnd w:id="0"/>
      <w:bookmarkEnd w:id="1"/>
      <w:bookmarkEnd w:id="2"/>
      <w:bookmarkEnd w:id="3"/>
      <w:bookmarkEnd w:id="4"/>
      <w:bookmarkEnd w:id="5"/>
      <w:bookmarkEnd w:id="6"/>
      <w:bookmarkEnd w:id="7"/>
    </w:p>
    <w:p>
      <w:pPr>
        <w:pStyle w:val="3"/>
        <w:rPr>
          <w:rFonts w:ascii="华文仿宋" w:hAnsi="华文仿宋" w:eastAsia="华文仿宋"/>
        </w:rPr>
      </w:pPr>
      <w:bookmarkStart w:id="8" w:name="_Toc225244047"/>
      <w:bookmarkStart w:id="9" w:name="_Toc328731283"/>
      <w:bookmarkStart w:id="10" w:name="_Toc243967866"/>
      <w:bookmarkStart w:id="11" w:name="_Toc224965864"/>
      <w:bookmarkStart w:id="12" w:name="_Toc243967960"/>
      <w:bookmarkStart w:id="13" w:name="_Toc243813810"/>
      <w:bookmarkStart w:id="14" w:name="_Toc278186379"/>
      <w:bookmarkStart w:id="15" w:name="_Toc27067"/>
      <w:r>
        <w:rPr>
          <w:rFonts w:ascii="华文仿宋" w:hAnsi="华文仿宋" w:eastAsia="华文仿宋"/>
        </w:rPr>
        <w:t>1.1编制目的</w:t>
      </w:r>
      <w:bookmarkEnd w:id="8"/>
      <w:bookmarkEnd w:id="9"/>
      <w:bookmarkEnd w:id="10"/>
      <w:bookmarkEnd w:id="11"/>
      <w:bookmarkEnd w:id="12"/>
      <w:bookmarkEnd w:id="13"/>
      <w:bookmarkEnd w:id="14"/>
      <w:bookmarkEnd w:id="15"/>
      <w:bookmarkStart w:id="16" w:name="_Toc243967867"/>
      <w:bookmarkStart w:id="17" w:name="_Toc243967961"/>
      <w:bookmarkStart w:id="18" w:name="_Toc224965865"/>
      <w:bookmarkStart w:id="19" w:name="_Toc225244048"/>
      <w:bookmarkStart w:id="20" w:name="_Toc328731284"/>
      <w:bookmarkStart w:id="21" w:name="_Toc278186380"/>
      <w:bookmarkStart w:id="22" w:name="_Toc243813811"/>
    </w:p>
    <w:p>
      <w:pPr>
        <w:spacing w:line="500" w:lineRule="exact"/>
        <w:ind w:left="0" w:leftChars="0" w:right="0" w:rightChars="0" w:firstLine="560"/>
        <w:rPr>
          <w:rFonts w:ascii="仿宋" w:hAnsi="仿宋" w:eastAsia="仿宋"/>
        </w:rPr>
      </w:pPr>
      <w:r>
        <w:rPr>
          <w:rFonts w:ascii="仿宋" w:hAnsi="仿宋" w:eastAsia="仿宋"/>
        </w:rPr>
        <w:t>编制应急预案可通过风险识别、事故后果分析，采用技术和管理手段降低事故发生的可能性，使可能发生的事故控制在局部，防止事故蔓延；万一发生事故(故障)有应急处理的程序和方法，能快速反应处理故障或将事故清除在萌芽状态；采用预定的现场抢救和抢险的方案，控制或减少事故造成的损失。</w:t>
      </w:r>
    </w:p>
    <w:p>
      <w:pPr>
        <w:pStyle w:val="3"/>
        <w:rPr>
          <w:rFonts w:ascii="华文仿宋" w:hAnsi="华文仿宋" w:eastAsia="华文仿宋"/>
        </w:rPr>
      </w:pPr>
      <w:bookmarkStart w:id="23" w:name="_Toc10340"/>
      <w:r>
        <w:rPr>
          <w:rFonts w:ascii="华文仿宋" w:hAnsi="华文仿宋" w:eastAsia="华文仿宋"/>
        </w:rPr>
        <w:t>1.2编制依据</w:t>
      </w:r>
      <w:bookmarkEnd w:id="16"/>
      <w:bookmarkEnd w:id="17"/>
      <w:bookmarkEnd w:id="18"/>
      <w:bookmarkEnd w:id="19"/>
      <w:bookmarkEnd w:id="20"/>
      <w:bookmarkEnd w:id="21"/>
      <w:bookmarkEnd w:id="22"/>
      <w:bookmarkEnd w:id="23"/>
    </w:p>
    <w:p>
      <w:pPr>
        <w:pStyle w:val="132"/>
        <w:rPr>
          <w:rFonts w:ascii="华文仿宋" w:hAnsi="华文仿宋" w:eastAsia="华文仿宋"/>
        </w:rPr>
      </w:pPr>
      <w:bookmarkStart w:id="24" w:name="_Toc8911"/>
      <w:r>
        <w:rPr>
          <w:rFonts w:hint="eastAsia" w:ascii="华文仿宋" w:hAnsi="华文仿宋" w:eastAsia="华文仿宋"/>
        </w:rPr>
        <w:t>1.2.1法律法规、政策</w:t>
      </w:r>
      <w:bookmarkEnd w:id="24"/>
    </w:p>
    <w:p>
      <w:pPr>
        <w:pStyle w:val="4"/>
        <w:ind w:firstLine="560"/>
        <w:rPr>
          <w:rFonts w:ascii="仿宋" w:hAnsi="仿宋" w:eastAsia="仿宋"/>
        </w:rPr>
      </w:pPr>
      <w:bookmarkStart w:id="25" w:name="_Toc328731285"/>
      <w:bookmarkStart w:id="26" w:name="_Toc225244049"/>
      <w:bookmarkStart w:id="27" w:name="_Toc224965866"/>
      <w:bookmarkStart w:id="28" w:name="_Toc243813812"/>
      <w:bookmarkStart w:id="29" w:name="_Toc278186381"/>
      <w:bookmarkStart w:id="30" w:name="_Toc243967962"/>
      <w:bookmarkStart w:id="31" w:name="_Toc243967868"/>
      <w:r>
        <w:rPr>
          <w:rFonts w:hint="eastAsia" w:ascii="仿宋" w:hAnsi="仿宋" w:eastAsia="仿宋"/>
        </w:rPr>
        <w:t>（1）《中华人民共和国环境保护法》(中华人民共和国主席令第九号)，2014年4月24日；</w:t>
      </w:r>
    </w:p>
    <w:p>
      <w:pPr>
        <w:pStyle w:val="4"/>
        <w:ind w:firstLine="560"/>
        <w:rPr>
          <w:rFonts w:ascii="仿宋" w:hAnsi="仿宋" w:eastAsia="仿宋"/>
        </w:rPr>
      </w:pPr>
      <w:r>
        <w:rPr>
          <w:rFonts w:hint="eastAsia" w:ascii="仿宋" w:hAnsi="仿宋" w:eastAsia="仿宋"/>
        </w:rPr>
        <w:t>（2）《中华人民共和国水污染防治法》，1996年5月15日(1996年5月15日颁布，2008年2月28日修订，2008年6月1日实施)；</w:t>
      </w:r>
    </w:p>
    <w:p>
      <w:pPr>
        <w:pStyle w:val="4"/>
        <w:ind w:firstLine="560"/>
        <w:rPr>
          <w:rFonts w:ascii="仿宋" w:hAnsi="仿宋" w:eastAsia="仿宋"/>
        </w:rPr>
      </w:pPr>
      <w:r>
        <w:rPr>
          <w:rFonts w:hint="eastAsia" w:ascii="仿宋" w:hAnsi="仿宋" w:eastAsia="仿宋"/>
        </w:rPr>
        <w:t>（3）《中华人民共和国大气污染防治法》，2016年1月1日；</w:t>
      </w:r>
    </w:p>
    <w:p>
      <w:pPr>
        <w:pStyle w:val="4"/>
        <w:ind w:firstLine="560"/>
        <w:rPr>
          <w:rFonts w:ascii="仿宋" w:hAnsi="仿宋" w:eastAsia="仿宋"/>
        </w:rPr>
      </w:pPr>
      <w:r>
        <w:rPr>
          <w:rFonts w:hint="eastAsia" w:ascii="仿宋" w:hAnsi="仿宋" w:eastAsia="仿宋"/>
        </w:rPr>
        <w:t>（4）《中华人民共和国固体废物污染环境防治法(主席令第二十三号)（2015年修正本）》，</w:t>
      </w:r>
      <w:r>
        <w:rPr>
          <w:rFonts w:ascii="仿宋" w:hAnsi="仿宋" w:eastAsia="仿宋"/>
        </w:rPr>
        <w:t>20</w:t>
      </w:r>
      <w:r>
        <w:rPr>
          <w:rFonts w:hint="eastAsia" w:ascii="仿宋" w:hAnsi="仿宋" w:eastAsia="仿宋"/>
        </w:rPr>
        <w:t>15</w:t>
      </w:r>
      <w:r>
        <w:rPr>
          <w:rFonts w:ascii="仿宋" w:hAnsi="仿宋" w:eastAsia="仿宋"/>
        </w:rPr>
        <w:t>年4月</w:t>
      </w:r>
      <w:r>
        <w:rPr>
          <w:rFonts w:hint="eastAsia" w:ascii="仿宋" w:hAnsi="仿宋" w:eastAsia="仿宋"/>
        </w:rPr>
        <w:t>24</w:t>
      </w:r>
      <w:r>
        <w:rPr>
          <w:rFonts w:ascii="仿宋" w:hAnsi="仿宋" w:eastAsia="仿宋"/>
        </w:rPr>
        <w:t>日</w:t>
      </w:r>
      <w:r>
        <w:rPr>
          <w:rFonts w:hint="eastAsia" w:ascii="仿宋" w:hAnsi="仿宋" w:eastAsia="仿宋"/>
        </w:rPr>
        <w:t>；</w:t>
      </w:r>
    </w:p>
    <w:p>
      <w:pPr>
        <w:pStyle w:val="4"/>
        <w:ind w:firstLine="560"/>
        <w:rPr>
          <w:rFonts w:ascii="仿宋" w:hAnsi="仿宋" w:eastAsia="仿宋"/>
        </w:rPr>
      </w:pPr>
      <w:r>
        <w:rPr>
          <w:rFonts w:hint="eastAsia" w:ascii="仿宋" w:hAnsi="仿宋" w:eastAsia="仿宋"/>
        </w:rPr>
        <w:t>（5）《</w:t>
      </w:r>
      <w:r>
        <w:rPr>
          <w:rFonts w:ascii="仿宋" w:hAnsi="仿宋" w:eastAsia="仿宋"/>
        </w:rPr>
        <w:t>中华人民共和国突发事件应对法</w:t>
      </w:r>
      <w:r>
        <w:rPr>
          <w:rFonts w:hint="eastAsia" w:ascii="仿宋" w:hAnsi="仿宋" w:eastAsia="仿宋"/>
        </w:rPr>
        <w:t>》，2007年8月30日；</w:t>
      </w:r>
    </w:p>
    <w:p>
      <w:pPr>
        <w:pStyle w:val="4"/>
        <w:ind w:firstLine="560"/>
        <w:rPr>
          <w:rFonts w:ascii="仿宋" w:hAnsi="仿宋" w:eastAsia="仿宋"/>
        </w:rPr>
      </w:pPr>
      <w:r>
        <w:rPr>
          <w:rFonts w:hint="eastAsia" w:ascii="仿宋" w:hAnsi="仿宋" w:eastAsia="仿宋"/>
        </w:rPr>
        <w:t>（6）《中华人民共和国安全生产法》，2014年12月1日；</w:t>
      </w:r>
    </w:p>
    <w:p>
      <w:pPr>
        <w:pStyle w:val="4"/>
        <w:ind w:firstLine="560"/>
        <w:rPr>
          <w:rFonts w:ascii="仿宋" w:hAnsi="仿宋" w:eastAsia="仿宋"/>
        </w:rPr>
      </w:pPr>
      <w:r>
        <w:rPr>
          <w:rFonts w:hint="eastAsia" w:ascii="仿宋" w:hAnsi="仿宋" w:eastAsia="仿宋"/>
        </w:rPr>
        <w:t>（7）《中华人民共和国消防法》，2009年5月</w:t>
      </w:r>
      <w:r>
        <w:rPr>
          <w:rFonts w:hint="eastAsia" w:ascii="仿宋" w:hAnsi="仿宋" w:eastAsia="仿宋"/>
        </w:rPr>
        <w:tab/>
      </w:r>
      <w:r>
        <w:rPr>
          <w:rFonts w:hint="eastAsia" w:ascii="仿宋" w:hAnsi="仿宋" w:eastAsia="仿宋"/>
        </w:rPr>
        <w:t>1日；</w:t>
      </w:r>
    </w:p>
    <w:p>
      <w:pPr>
        <w:pStyle w:val="4"/>
        <w:ind w:firstLine="560"/>
        <w:rPr>
          <w:rFonts w:ascii="仿宋" w:hAnsi="仿宋" w:eastAsia="仿宋"/>
        </w:rPr>
      </w:pPr>
      <w:r>
        <w:rPr>
          <w:rFonts w:hint="eastAsia" w:ascii="仿宋" w:hAnsi="仿宋" w:eastAsia="仿宋"/>
        </w:rPr>
        <w:t>（8）《危险化学品安全管理条例》(国务院令 第591号)，2011年3月2日；</w:t>
      </w:r>
    </w:p>
    <w:p>
      <w:pPr>
        <w:pStyle w:val="4"/>
        <w:ind w:firstLine="560"/>
        <w:rPr>
          <w:rFonts w:ascii="仿宋" w:hAnsi="仿宋" w:eastAsia="仿宋"/>
        </w:rPr>
      </w:pPr>
      <w:r>
        <w:rPr>
          <w:rFonts w:hint="eastAsia" w:ascii="仿宋" w:hAnsi="仿宋" w:eastAsia="仿宋"/>
        </w:rPr>
        <w:t>（9）《国务院关于加强环境保护重点工作的意见》(国发[2011]35号)；</w:t>
      </w:r>
    </w:p>
    <w:p>
      <w:pPr>
        <w:pStyle w:val="4"/>
        <w:ind w:firstLine="560"/>
        <w:rPr>
          <w:rFonts w:ascii="仿宋" w:hAnsi="仿宋" w:eastAsia="仿宋"/>
        </w:rPr>
      </w:pPr>
      <w:r>
        <w:rPr>
          <w:rFonts w:hint="eastAsia" w:ascii="仿宋" w:hAnsi="仿宋" w:eastAsia="仿宋"/>
        </w:rPr>
        <w:t>（10）《危险化学品环境管理登记办法》(环境保护部令第22号)，2012年10月10日；</w:t>
      </w:r>
    </w:p>
    <w:p>
      <w:pPr>
        <w:pStyle w:val="4"/>
        <w:ind w:firstLine="560"/>
        <w:rPr>
          <w:rFonts w:ascii="仿宋" w:hAnsi="仿宋" w:eastAsia="仿宋"/>
        </w:rPr>
      </w:pPr>
      <w:r>
        <w:rPr>
          <w:rFonts w:hint="eastAsia" w:ascii="仿宋" w:hAnsi="仿宋" w:eastAsia="仿宋"/>
        </w:rPr>
        <w:t>（11）《突发环境事件信息报告方法》(环保部令第17号)，2011年5月1日；</w:t>
      </w:r>
    </w:p>
    <w:p>
      <w:pPr>
        <w:pStyle w:val="4"/>
        <w:ind w:firstLine="560"/>
        <w:rPr>
          <w:rFonts w:ascii="仿宋" w:hAnsi="仿宋" w:eastAsia="仿宋"/>
        </w:rPr>
      </w:pPr>
      <w:r>
        <w:rPr>
          <w:rFonts w:hint="eastAsia" w:ascii="仿宋" w:hAnsi="仿宋" w:eastAsia="仿宋"/>
        </w:rPr>
        <w:t>（12）《突发事件应急预案管理办法》(国办发[2013]101号)，2013年10月25日；</w:t>
      </w:r>
    </w:p>
    <w:p>
      <w:pPr>
        <w:pStyle w:val="4"/>
        <w:ind w:firstLine="560"/>
        <w:rPr>
          <w:rFonts w:ascii="仿宋" w:hAnsi="仿宋" w:eastAsia="仿宋"/>
        </w:rPr>
      </w:pPr>
      <w:r>
        <w:rPr>
          <w:rFonts w:hint="eastAsia" w:ascii="仿宋" w:hAnsi="仿宋" w:eastAsia="仿宋"/>
        </w:rPr>
        <w:t>（13）《</w:t>
      </w:r>
      <w:r>
        <w:rPr>
          <w:rFonts w:ascii="仿宋" w:hAnsi="仿宋" w:eastAsia="仿宋"/>
        </w:rPr>
        <w:t>江西省突发环境事件应急预案</w:t>
      </w:r>
      <w:r>
        <w:rPr>
          <w:rFonts w:hint="eastAsia" w:ascii="仿宋" w:hAnsi="仿宋" w:eastAsia="仿宋"/>
        </w:rPr>
        <w:t>》（赣府厅字〔2016〕14号），2016年1月25日；</w:t>
      </w:r>
    </w:p>
    <w:p>
      <w:pPr>
        <w:pStyle w:val="4"/>
        <w:ind w:firstLine="560"/>
        <w:rPr>
          <w:rFonts w:ascii="仿宋" w:hAnsi="仿宋" w:eastAsia="仿宋"/>
        </w:rPr>
      </w:pPr>
      <w:r>
        <w:rPr>
          <w:rFonts w:hint="eastAsia" w:ascii="仿宋" w:hAnsi="仿宋" w:eastAsia="仿宋"/>
        </w:rPr>
        <w:t>（14）《危险化学品名录》(2015版)；</w:t>
      </w:r>
    </w:p>
    <w:p>
      <w:pPr>
        <w:pStyle w:val="4"/>
        <w:ind w:firstLine="560"/>
        <w:rPr>
          <w:rFonts w:ascii="仿宋" w:hAnsi="仿宋" w:eastAsia="仿宋"/>
        </w:rPr>
      </w:pPr>
      <w:r>
        <w:rPr>
          <w:rFonts w:hint="eastAsia" w:ascii="仿宋" w:hAnsi="仿宋" w:eastAsia="仿宋"/>
        </w:rPr>
        <w:t>（15）《国家危险废物名录》(2016版);</w:t>
      </w:r>
    </w:p>
    <w:p>
      <w:pPr>
        <w:pStyle w:val="4"/>
        <w:ind w:firstLine="560"/>
        <w:rPr>
          <w:rFonts w:ascii="仿宋" w:hAnsi="仿宋" w:eastAsia="仿宋"/>
        </w:rPr>
      </w:pPr>
      <w:r>
        <w:rPr>
          <w:rFonts w:hint="eastAsia" w:ascii="仿宋" w:hAnsi="仿宋" w:eastAsia="仿宋"/>
        </w:rPr>
        <w:t>（16）《危险化学品重大危险源监督管理暂行规定》(国家安全生产监督管理总局令第40号)，2011年8月5日；</w:t>
      </w:r>
    </w:p>
    <w:p>
      <w:pPr>
        <w:pStyle w:val="4"/>
        <w:ind w:firstLine="560"/>
        <w:rPr>
          <w:rFonts w:ascii="仿宋" w:hAnsi="仿宋" w:eastAsia="仿宋"/>
        </w:rPr>
      </w:pPr>
      <w:r>
        <w:rPr>
          <w:rFonts w:hint="eastAsia" w:ascii="仿宋" w:hAnsi="仿宋" w:eastAsia="仿宋"/>
        </w:rPr>
        <w:t>（17）《化学品环境风险防控“十二五”规划》(环发[2013]20号)，2013年2月7日；</w:t>
      </w:r>
    </w:p>
    <w:p>
      <w:pPr>
        <w:pStyle w:val="4"/>
        <w:ind w:firstLine="560"/>
        <w:rPr>
          <w:rFonts w:ascii="仿宋" w:hAnsi="仿宋" w:eastAsia="仿宋"/>
        </w:rPr>
      </w:pPr>
      <w:r>
        <w:rPr>
          <w:rFonts w:hint="eastAsia" w:ascii="仿宋" w:hAnsi="仿宋" w:eastAsia="仿宋"/>
        </w:rPr>
        <w:t>（18）《关于进一步加强环境影响评价管理防范环境风险的通知》(环发[2012]77号)，2012年7月3日；</w:t>
      </w:r>
    </w:p>
    <w:p>
      <w:pPr>
        <w:pStyle w:val="4"/>
        <w:ind w:firstLine="560"/>
        <w:rPr>
          <w:rFonts w:ascii="仿宋" w:hAnsi="仿宋" w:eastAsia="仿宋"/>
        </w:rPr>
      </w:pPr>
      <w:r>
        <w:rPr>
          <w:rFonts w:hint="eastAsia" w:ascii="仿宋" w:hAnsi="仿宋" w:eastAsia="仿宋"/>
        </w:rPr>
        <w:t>（19）《企业突发环境事件风险防范监督管理办法》(征求意见稿)；</w:t>
      </w:r>
    </w:p>
    <w:p>
      <w:pPr>
        <w:pStyle w:val="4"/>
        <w:ind w:firstLine="560"/>
        <w:rPr>
          <w:rFonts w:ascii="仿宋" w:hAnsi="仿宋" w:eastAsia="仿宋"/>
        </w:rPr>
      </w:pPr>
      <w:r>
        <w:rPr>
          <w:rFonts w:hint="eastAsia" w:ascii="仿宋" w:hAnsi="仿宋" w:eastAsia="仿宋"/>
        </w:rPr>
        <w:t>（20）《突发环境事件应急管理办法》环保部第34号令，2015年6月5日。</w:t>
      </w:r>
    </w:p>
    <w:p>
      <w:pPr>
        <w:pStyle w:val="4"/>
        <w:ind w:firstLine="560"/>
        <w:rPr>
          <w:rFonts w:ascii="仿宋" w:hAnsi="仿宋" w:eastAsia="仿宋"/>
        </w:rPr>
      </w:pPr>
      <w:r>
        <w:rPr>
          <w:rFonts w:hint="eastAsia" w:ascii="仿宋" w:hAnsi="仿宋" w:eastAsia="仿宋"/>
        </w:rPr>
        <w:t>（21）《江西省突发事件应对条例》，2013年7月27日；</w:t>
      </w:r>
    </w:p>
    <w:p>
      <w:pPr>
        <w:pStyle w:val="4"/>
        <w:ind w:firstLine="560"/>
        <w:rPr>
          <w:rFonts w:ascii="仿宋" w:hAnsi="仿宋" w:eastAsia="仿宋"/>
        </w:rPr>
      </w:pPr>
      <w:r>
        <w:rPr>
          <w:rFonts w:hint="eastAsia" w:ascii="仿宋" w:hAnsi="仿宋" w:eastAsia="仿宋"/>
        </w:rPr>
        <w:t>（22）《江西省突发事件预警信息发布管理办法（试行）》（赣府厅发〔2014〕1号），</w:t>
      </w:r>
      <w:r>
        <w:rPr>
          <w:rFonts w:ascii="仿宋" w:hAnsi="仿宋" w:eastAsia="仿宋"/>
        </w:rPr>
        <w:t>2014</w:t>
      </w:r>
      <w:r>
        <w:rPr>
          <w:rFonts w:hint="eastAsia" w:ascii="仿宋" w:hAnsi="仿宋" w:eastAsia="仿宋"/>
        </w:rPr>
        <w:t>年</w:t>
      </w:r>
      <w:r>
        <w:rPr>
          <w:rFonts w:ascii="仿宋" w:hAnsi="仿宋" w:eastAsia="仿宋"/>
        </w:rPr>
        <w:t>1</w:t>
      </w:r>
      <w:r>
        <w:rPr>
          <w:rFonts w:hint="eastAsia" w:ascii="仿宋" w:hAnsi="仿宋" w:eastAsia="仿宋"/>
        </w:rPr>
        <w:t>月</w:t>
      </w:r>
      <w:r>
        <w:rPr>
          <w:rFonts w:ascii="仿宋" w:hAnsi="仿宋" w:eastAsia="仿宋"/>
        </w:rPr>
        <w:t>3</w:t>
      </w:r>
      <w:r>
        <w:rPr>
          <w:rFonts w:hint="eastAsia" w:ascii="仿宋" w:hAnsi="仿宋" w:eastAsia="仿宋"/>
        </w:rPr>
        <w:t>日；</w:t>
      </w:r>
    </w:p>
    <w:p>
      <w:pPr>
        <w:pStyle w:val="132"/>
        <w:rPr>
          <w:rFonts w:ascii="华文仿宋" w:hAnsi="华文仿宋" w:eastAsia="华文仿宋"/>
        </w:rPr>
      </w:pPr>
      <w:bookmarkStart w:id="32" w:name="_Toc970"/>
      <w:r>
        <w:rPr>
          <w:rFonts w:hint="eastAsia" w:ascii="华文仿宋" w:hAnsi="华文仿宋" w:eastAsia="华文仿宋"/>
        </w:rPr>
        <w:t>1.2.2技术指南、标准规范</w:t>
      </w:r>
      <w:bookmarkEnd w:id="32"/>
    </w:p>
    <w:p>
      <w:pPr>
        <w:pStyle w:val="4"/>
        <w:ind w:firstLine="560"/>
        <w:rPr>
          <w:rFonts w:ascii="仿宋" w:hAnsi="仿宋" w:eastAsia="仿宋"/>
        </w:rPr>
      </w:pPr>
      <w:r>
        <w:rPr>
          <w:rFonts w:hint="eastAsia" w:ascii="仿宋" w:hAnsi="仿宋" w:eastAsia="仿宋"/>
        </w:rPr>
        <w:t>（1）《事故状态下水体污染物的预防与控制技术要求》(Q/SY1190-2013)；</w:t>
      </w:r>
    </w:p>
    <w:p>
      <w:pPr>
        <w:pStyle w:val="4"/>
        <w:ind w:firstLine="560"/>
        <w:rPr>
          <w:rFonts w:ascii="仿宋" w:hAnsi="仿宋" w:eastAsia="仿宋"/>
        </w:rPr>
      </w:pPr>
      <w:r>
        <w:rPr>
          <w:rFonts w:hint="eastAsia" w:ascii="仿宋" w:hAnsi="仿宋" w:eastAsia="仿宋"/>
        </w:rPr>
        <w:t>（2）《建筑设计防火规范》(GB50016-2014)，2014年8月27日；</w:t>
      </w:r>
    </w:p>
    <w:p>
      <w:pPr>
        <w:pStyle w:val="4"/>
        <w:ind w:firstLine="560"/>
        <w:rPr>
          <w:rFonts w:ascii="仿宋" w:hAnsi="仿宋" w:eastAsia="仿宋"/>
        </w:rPr>
      </w:pPr>
      <w:r>
        <w:rPr>
          <w:rFonts w:hint="eastAsia" w:ascii="仿宋" w:hAnsi="仿宋" w:eastAsia="仿宋"/>
        </w:rPr>
        <w:t>（3）《化学品分类、警示标签和警示性说明安全规范》(GB20576-GB20602)；</w:t>
      </w:r>
    </w:p>
    <w:p>
      <w:pPr>
        <w:pStyle w:val="4"/>
        <w:ind w:firstLine="560"/>
        <w:rPr>
          <w:rFonts w:ascii="仿宋" w:hAnsi="仿宋" w:eastAsia="仿宋"/>
        </w:rPr>
      </w:pPr>
      <w:r>
        <w:rPr>
          <w:rFonts w:hint="eastAsia" w:ascii="仿宋" w:hAnsi="仿宋" w:eastAsia="仿宋"/>
        </w:rPr>
        <w:t>（4）《建设项目环境风险评价技术导则》(HJ/T169-2004)；</w:t>
      </w:r>
    </w:p>
    <w:p>
      <w:pPr>
        <w:pStyle w:val="4"/>
        <w:ind w:firstLine="560"/>
        <w:rPr>
          <w:rFonts w:ascii="仿宋" w:hAnsi="仿宋" w:eastAsia="仿宋"/>
        </w:rPr>
      </w:pPr>
      <w:r>
        <w:rPr>
          <w:rFonts w:hint="eastAsia" w:ascii="仿宋" w:hAnsi="仿宋" w:eastAsia="仿宋"/>
        </w:rPr>
        <w:t>（5）《危险化学品重大危险源辨识》(GB18218-20</w:t>
      </w:r>
      <w:r>
        <w:rPr>
          <w:rFonts w:ascii="仿宋" w:hAnsi="仿宋" w:eastAsia="仿宋"/>
        </w:rPr>
        <w:t>14</w:t>
      </w:r>
      <w:r>
        <w:rPr>
          <w:rFonts w:hint="eastAsia" w:ascii="仿宋" w:hAnsi="仿宋" w:eastAsia="仿宋"/>
        </w:rPr>
        <w:t>)；</w:t>
      </w:r>
    </w:p>
    <w:p>
      <w:pPr>
        <w:pStyle w:val="4"/>
        <w:ind w:firstLine="560"/>
        <w:rPr>
          <w:rFonts w:ascii="仿宋" w:hAnsi="仿宋" w:eastAsia="仿宋"/>
        </w:rPr>
      </w:pPr>
      <w:r>
        <w:rPr>
          <w:rFonts w:hint="eastAsia" w:ascii="仿宋" w:hAnsi="仿宋" w:eastAsia="仿宋"/>
        </w:rPr>
        <w:t>（6）《化学品毒性鉴定技术规范》(卫监督发[2005]272号)；</w:t>
      </w:r>
    </w:p>
    <w:p>
      <w:pPr>
        <w:pStyle w:val="4"/>
        <w:ind w:firstLine="560"/>
        <w:rPr>
          <w:rFonts w:ascii="华文仿宋" w:hAnsi="华文仿宋" w:eastAsia="华文仿宋"/>
        </w:rPr>
      </w:pPr>
      <w:r>
        <w:rPr>
          <w:rFonts w:hint="eastAsia" w:ascii="仿宋" w:hAnsi="仿宋" w:eastAsia="仿宋"/>
        </w:rPr>
        <w:t>（7）《水体污染事故风险预防与控制措施运行管理要求》(中国石油企业标准Q/SY1310-2010)；</w:t>
      </w:r>
    </w:p>
    <w:p>
      <w:pPr>
        <w:pStyle w:val="4"/>
        <w:ind w:firstLine="560"/>
        <w:rPr>
          <w:rFonts w:ascii="仿宋" w:hAnsi="仿宋" w:eastAsia="仿宋"/>
        </w:rPr>
      </w:pPr>
      <w:r>
        <w:rPr>
          <w:rFonts w:hint="eastAsia" w:ascii="仿宋" w:hAnsi="仿宋" w:eastAsia="仿宋"/>
        </w:rPr>
        <w:t>（8）《危险废物贮存污染控制标准》(GB18597-2001)；</w:t>
      </w:r>
    </w:p>
    <w:p>
      <w:pPr>
        <w:pStyle w:val="3"/>
        <w:rPr>
          <w:rFonts w:ascii="仿宋" w:hAnsi="仿宋" w:eastAsia="仿宋"/>
        </w:rPr>
      </w:pPr>
      <w:bookmarkStart w:id="33" w:name="_Toc21969"/>
      <w:r>
        <w:rPr>
          <w:rFonts w:ascii="仿宋" w:hAnsi="仿宋" w:eastAsia="仿宋"/>
        </w:rPr>
        <w:t>1.3</w:t>
      </w:r>
      <w:bookmarkEnd w:id="25"/>
      <w:bookmarkEnd w:id="26"/>
      <w:bookmarkEnd w:id="27"/>
      <w:bookmarkEnd w:id="28"/>
      <w:bookmarkEnd w:id="29"/>
      <w:bookmarkEnd w:id="30"/>
      <w:bookmarkEnd w:id="31"/>
      <w:r>
        <w:rPr>
          <w:rFonts w:hint="eastAsia" w:ascii="仿宋" w:hAnsi="仿宋" w:eastAsia="仿宋"/>
        </w:rPr>
        <w:t>事件分级</w:t>
      </w:r>
      <w:bookmarkEnd w:id="33"/>
    </w:p>
    <w:p>
      <w:pPr>
        <w:pStyle w:val="4"/>
        <w:ind w:firstLine="560"/>
        <w:rPr>
          <w:rFonts w:ascii="仿宋" w:hAnsi="仿宋" w:eastAsia="仿宋"/>
        </w:rPr>
      </w:pPr>
      <w:r>
        <w:rPr>
          <w:rFonts w:hint="eastAsia" w:ascii="仿宋" w:hAnsi="仿宋" w:eastAsia="仿宋"/>
        </w:rPr>
        <w:t>参照《江西省突发环境事件应急预案》赣府厅字〔2016〕14号文事件分级标准</w:t>
      </w:r>
      <w:r>
        <w:rPr>
          <w:rFonts w:ascii="仿宋" w:hAnsi="仿宋" w:eastAsia="仿宋"/>
        </w:rPr>
        <w:t>，</w:t>
      </w:r>
      <w:r>
        <w:rPr>
          <w:rFonts w:hint="eastAsia" w:ascii="仿宋" w:hAnsi="仿宋" w:eastAsia="仿宋"/>
        </w:rPr>
        <w:t>结合企业实际情况，该企业突发环境污染事件按照事件严重程度，突发环境事件分为特别重大、重大、较大和一般四级。</w:t>
      </w:r>
    </w:p>
    <w:p>
      <w:pPr>
        <w:pStyle w:val="4"/>
        <w:ind w:firstLine="560"/>
        <w:rPr>
          <w:rFonts w:ascii="仿宋" w:hAnsi="仿宋" w:eastAsia="仿宋"/>
        </w:rPr>
      </w:pPr>
      <w:r>
        <w:rPr>
          <w:rFonts w:ascii="仿宋" w:hAnsi="仿宋" w:eastAsia="仿宋"/>
        </w:rPr>
        <w:t>1、</w:t>
      </w:r>
      <w:r>
        <w:rPr>
          <w:rFonts w:hint="eastAsia" w:ascii="仿宋" w:hAnsi="仿宋" w:eastAsia="仿宋"/>
        </w:rPr>
        <w:t>特别重大突发环境事件</w:t>
      </w:r>
    </w:p>
    <w:p>
      <w:pPr>
        <w:pStyle w:val="4"/>
        <w:ind w:firstLine="560"/>
        <w:rPr>
          <w:rFonts w:ascii="仿宋" w:hAnsi="仿宋" w:eastAsia="仿宋"/>
        </w:rPr>
      </w:pPr>
      <w:r>
        <w:rPr>
          <w:rFonts w:hint="eastAsia" w:ascii="仿宋" w:hAnsi="仿宋" w:eastAsia="仿宋"/>
        </w:rPr>
        <w:t>凡符合下列情形之一的，为特别重大突发环境事件:</w:t>
      </w:r>
    </w:p>
    <w:p>
      <w:pPr>
        <w:pStyle w:val="4"/>
        <w:ind w:firstLine="560"/>
        <w:jc w:val="left"/>
        <w:rPr>
          <w:rFonts w:ascii="仿宋" w:hAnsi="仿宋" w:eastAsia="仿宋"/>
        </w:rPr>
      </w:pPr>
      <w:r>
        <w:rPr>
          <w:rFonts w:hint="eastAsia" w:ascii="仿宋" w:hAnsi="仿宋" w:eastAsia="仿宋"/>
        </w:rPr>
        <w:t>（1）因环境污染直接导致30人以上死亡或100人以上中毒或重伤的；</w:t>
      </w:r>
    </w:p>
    <w:p>
      <w:pPr>
        <w:pStyle w:val="4"/>
        <w:ind w:firstLine="560"/>
        <w:rPr>
          <w:rFonts w:ascii="仿宋" w:hAnsi="仿宋" w:eastAsia="仿宋"/>
        </w:rPr>
      </w:pPr>
      <w:r>
        <w:rPr>
          <w:rFonts w:hint="eastAsia" w:ascii="仿宋" w:hAnsi="仿宋" w:eastAsia="仿宋"/>
        </w:rPr>
        <w:t>（2）因环境污染疏散、转移人员5万人以上的；</w:t>
      </w:r>
    </w:p>
    <w:p>
      <w:pPr>
        <w:pStyle w:val="4"/>
        <w:ind w:firstLine="560"/>
        <w:rPr>
          <w:rFonts w:ascii="仿宋" w:hAnsi="仿宋" w:eastAsia="仿宋"/>
        </w:rPr>
      </w:pPr>
      <w:r>
        <w:rPr>
          <w:rFonts w:hint="eastAsia" w:ascii="仿宋" w:hAnsi="仿宋" w:eastAsia="仿宋"/>
        </w:rPr>
        <w:t>（3）因环境污染造成直接经济损失1亿元以上的；</w:t>
      </w:r>
    </w:p>
    <w:p>
      <w:pPr>
        <w:pStyle w:val="4"/>
        <w:ind w:firstLine="560"/>
        <w:rPr>
          <w:rFonts w:ascii="仿宋" w:hAnsi="仿宋" w:eastAsia="仿宋"/>
        </w:rPr>
      </w:pPr>
      <w:r>
        <w:rPr>
          <w:rFonts w:hint="eastAsia" w:ascii="仿宋" w:hAnsi="仿宋" w:eastAsia="仿宋"/>
        </w:rPr>
        <w:t>（4）因环境污染造成区域生态功能丧失或该区域国家重点保护物种灭绝的；</w:t>
      </w:r>
    </w:p>
    <w:p>
      <w:pPr>
        <w:pStyle w:val="4"/>
        <w:ind w:firstLine="560"/>
        <w:rPr>
          <w:rFonts w:ascii="仿宋" w:hAnsi="仿宋" w:eastAsia="仿宋"/>
        </w:rPr>
      </w:pPr>
      <w:r>
        <w:rPr>
          <w:rFonts w:hint="eastAsia" w:ascii="仿宋" w:hAnsi="仿宋" w:eastAsia="仿宋"/>
        </w:rPr>
        <w:t>（5）因环境污染造成设区的市级以上城市集中式饮用水水源地取水中断的；</w:t>
      </w:r>
    </w:p>
    <w:p>
      <w:pPr>
        <w:pStyle w:val="4"/>
        <w:ind w:firstLine="560"/>
        <w:rPr>
          <w:rFonts w:ascii="仿宋" w:hAnsi="仿宋" w:eastAsia="仿宋"/>
        </w:rPr>
      </w:pPr>
      <w:r>
        <w:rPr>
          <w:rFonts w:hint="eastAsia" w:ascii="仿宋" w:hAnsi="仿宋" w:eastAsia="仿宋"/>
        </w:rPr>
        <w:t>（6）Ⅰ、Ⅱ类放射源丢失、被盗、失控并造成大范围严重辐射污染后果的；放射性同位素和射线装置失控导致3人以上急性死亡的；放射性物质泄漏，造成大范围辐射污染后果的；</w:t>
      </w:r>
    </w:p>
    <w:p>
      <w:pPr>
        <w:pStyle w:val="4"/>
        <w:ind w:firstLine="560"/>
        <w:rPr>
          <w:rFonts w:hint="eastAsia" w:ascii="仿宋" w:hAnsi="仿宋" w:eastAsia="仿宋"/>
        </w:rPr>
      </w:pPr>
      <w:r>
        <w:rPr>
          <w:rFonts w:hint="eastAsia" w:ascii="仿宋" w:hAnsi="仿宋" w:eastAsia="仿宋"/>
        </w:rPr>
        <w:t>（7）造成重大跨国境影响的境内突发环境事件。</w:t>
      </w:r>
    </w:p>
    <w:p>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firstLine="64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lang w:val="en-US" w:eastAsia="zh-CN"/>
        </w:rPr>
        <w:t>2.</w:t>
      </w:r>
      <w:r>
        <w:rPr>
          <w:rFonts w:hint="eastAsia" w:ascii="仿宋" w:hAnsi="仿宋" w:eastAsia="仿宋" w:cs="仿宋"/>
          <w:i w:val="0"/>
          <w:color w:val="000000"/>
          <w:sz w:val="28"/>
          <w:szCs w:val="28"/>
          <w:u w:val="none"/>
        </w:rPr>
        <w:t>重大突发环境事件</w:t>
      </w:r>
    </w:p>
    <w:p>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firstLine="64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凡符合下列情形之一的，为重大突发环境事件：</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firstLine="64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因环境污染直接导致10人以上30人以下死亡或50人以上100人以下中毒或重伤的；</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left="280" w:leftChars="100" w:firstLine="560" w:firstLineChars="20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因环境污染疏散、转移人员1万人以上5万人以下的；</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left="280" w:leftChars="100" w:firstLine="560" w:firstLineChars="20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因环境污染造成直接经济损失2000万元以上1亿元以下的；</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left="280" w:leftChars="100" w:firstLine="560" w:firstLineChars="20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因环境污染造成区域生态功能部分丧失或该区域国家重点保护野生动植物种群大批死亡的；</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left="280" w:leftChars="100" w:firstLine="560" w:firstLineChars="20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因环境污染造成县级城市集中式饮用水水源地取水中断的；</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left="280" w:leftChars="100" w:firstLine="560" w:firstLineChars="200"/>
        <w:textAlignment w:val="auto"/>
        <w:outlineLvl w:val="9"/>
        <w:rPr>
          <w:rFonts w:hint="eastAsia" w:ascii="仿宋" w:hAnsi="仿宋" w:eastAsia="仿宋" w:cs="仿宋"/>
          <w:sz w:val="28"/>
          <w:szCs w:val="28"/>
        </w:rPr>
      </w:pPr>
      <w:r>
        <w:rPr>
          <w:rFonts w:hint="eastAsia" w:ascii="仿宋" w:hAnsi="仿宋" w:eastAsia="仿宋" w:cs="仿宋"/>
          <w:i w:val="0"/>
          <w:color w:val="000000"/>
          <w:sz w:val="28"/>
          <w:szCs w:val="28"/>
          <w:u w:val="none"/>
        </w:rPr>
        <w:t>Ⅰ、Ⅱ类放射源丢失、被盗的；放射性同位素和射线装置失控导致3人以下急性死亡或者10人以上急性重度放射病、局部器官残疾的；放射性物质泄漏，造成较大范围辐射污染后果的；</w:t>
      </w:r>
    </w:p>
    <w:p>
      <w:pPr>
        <w:pStyle w:val="3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00" w:lineRule="exact"/>
        <w:ind w:left="280" w:leftChars="100" w:firstLine="560" w:firstLineChars="200"/>
        <w:textAlignment w:val="auto"/>
        <w:outlineLvl w:val="9"/>
        <w:rPr>
          <w:rFonts w:hint="eastAsia" w:ascii="仿宋" w:hAnsi="仿宋" w:eastAsia="仿宋"/>
        </w:rPr>
      </w:pPr>
      <w:r>
        <w:rPr>
          <w:rFonts w:hint="eastAsia" w:ascii="仿宋" w:hAnsi="仿宋" w:eastAsia="仿宋" w:cs="仿宋"/>
          <w:i w:val="0"/>
          <w:color w:val="000000"/>
          <w:sz w:val="28"/>
          <w:szCs w:val="28"/>
          <w:u w:val="none"/>
        </w:rPr>
        <w:t>造成跨省级行政区域影响的突发环境事件。</w:t>
      </w:r>
    </w:p>
    <w:p>
      <w:pPr>
        <w:pStyle w:val="4"/>
        <w:ind w:firstLine="560"/>
        <w:rPr>
          <w:rFonts w:ascii="仿宋" w:hAnsi="仿宋" w:eastAsia="仿宋"/>
        </w:rPr>
      </w:pPr>
      <w:r>
        <w:rPr>
          <w:rFonts w:hint="eastAsia" w:ascii="仿宋" w:hAnsi="仿宋" w:eastAsia="仿宋"/>
          <w:lang w:val="en-US" w:eastAsia="zh-CN"/>
        </w:rPr>
        <w:t>3</w:t>
      </w:r>
      <w:r>
        <w:rPr>
          <w:rFonts w:ascii="仿宋" w:hAnsi="仿宋" w:eastAsia="仿宋"/>
        </w:rPr>
        <w:t>、较大环境事件(</w:t>
      </w:r>
      <w:r>
        <w:rPr>
          <w:rFonts w:hint="eastAsia" w:ascii="仿宋" w:hAnsi="仿宋" w:eastAsia="仿宋" w:cs="宋体"/>
        </w:rPr>
        <w:t>Ⅱ</w:t>
      </w:r>
      <w:r>
        <w:rPr>
          <w:rFonts w:ascii="仿宋" w:hAnsi="仿宋" w:eastAsia="仿宋"/>
        </w:rPr>
        <w:t>级事件)</w:t>
      </w:r>
    </w:p>
    <w:p>
      <w:pPr>
        <w:pStyle w:val="4"/>
        <w:ind w:firstLine="560"/>
        <w:rPr>
          <w:rFonts w:ascii="仿宋" w:hAnsi="仿宋" w:eastAsia="仿宋"/>
        </w:rPr>
      </w:pPr>
      <w:r>
        <w:rPr>
          <w:rFonts w:ascii="仿宋" w:hAnsi="仿宋" w:eastAsia="仿宋"/>
        </w:rPr>
        <w:t>凡符合下列情形之一的，为较大环境事件：</w:t>
      </w:r>
    </w:p>
    <w:p>
      <w:pPr>
        <w:pStyle w:val="4"/>
        <w:ind w:firstLine="560"/>
        <w:rPr>
          <w:rFonts w:ascii="仿宋" w:hAnsi="仿宋" w:eastAsia="仿宋"/>
        </w:rPr>
      </w:pPr>
      <w:r>
        <w:rPr>
          <w:rFonts w:hint="eastAsia" w:ascii="仿宋" w:hAnsi="仿宋" w:eastAsia="仿宋"/>
        </w:rPr>
        <w:t>（1）</w:t>
      </w:r>
      <w:r>
        <w:rPr>
          <w:rFonts w:ascii="仿宋" w:hAnsi="仿宋" w:eastAsia="仿宋"/>
        </w:rPr>
        <w:t>造成直接经济损失在1万元以上</w:t>
      </w:r>
      <w:r>
        <w:rPr>
          <w:rFonts w:hint="eastAsia" w:ascii="仿宋" w:hAnsi="仿宋" w:eastAsia="仿宋"/>
        </w:rPr>
        <w:t>、30万元以下（含30万元）</w:t>
      </w:r>
      <w:r>
        <w:rPr>
          <w:rFonts w:ascii="仿宋" w:hAnsi="仿宋" w:eastAsia="仿宋"/>
        </w:rPr>
        <w:t>的；</w:t>
      </w:r>
    </w:p>
    <w:p>
      <w:pPr>
        <w:pStyle w:val="4"/>
        <w:ind w:firstLine="560"/>
        <w:rPr>
          <w:rFonts w:ascii="仿宋" w:hAnsi="仿宋" w:eastAsia="仿宋"/>
        </w:rPr>
      </w:pPr>
      <w:r>
        <w:rPr>
          <w:rFonts w:hint="eastAsia" w:ascii="仿宋" w:hAnsi="仿宋" w:eastAsia="仿宋"/>
        </w:rPr>
        <w:t>（2）</w:t>
      </w:r>
      <w:r>
        <w:rPr>
          <w:rFonts w:ascii="仿宋" w:hAnsi="仿宋" w:eastAsia="仿宋"/>
        </w:rPr>
        <w:t>公司发生</w:t>
      </w:r>
      <w:r>
        <w:rPr>
          <w:rFonts w:hint="eastAsia" w:ascii="仿宋" w:hAnsi="仿宋" w:eastAsia="仿宋"/>
        </w:rPr>
        <w:t>轻柴油</w:t>
      </w:r>
      <w:r>
        <w:rPr>
          <w:rFonts w:ascii="仿宋" w:hAnsi="仿宋" w:eastAsia="仿宋"/>
        </w:rPr>
        <w:t>火灾爆炸事故，未出现人员死亡，仅导致5人以下中毒、重伤，或多人轻伤；</w:t>
      </w:r>
    </w:p>
    <w:p>
      <w:pPr>
        <w:pStyle w:val="4"/>
        <w:ind w:firstLine="560"/>
        <w:rPr>
          <w:rFonts w:ascii="仿宋" w:hAnsi="仿宋" w:eastAsia="仿宋"/>
        </w:rPr>
      </w:pPr>
      <w:r>
        <w:rPr>
          <w:rFonts w:hint="eastAsia" w:ascii="仿宋" w:hAnsi="仿宋" w:eastAsia="仿宋"/>
        </w:rPr>
        <w:t>（3）因盐酸、硫酸处理或贮运过程中发生</w:t>
      </w:r>
      <w:r>
        <w:rPr>
          <w:rFonts w:ascii="仿宋" w:hAnsi="仿宋" w:eastAsia="仿宋"/>
        </w:rPr>
        <w:t>泄漏事故</w:t>
      </w:r>
      <w:r>
        <w:rPr>
          <w:rFonts w:hint="eastAsia" w:ascii="仿宋" w:hAnsi="仿宋" w:eastAsia="仿宋"/>
        </w:rPr>
        <w:t>，</w:t>
      </w:r>
      <w:r>
        <w:rPr>
          <w:rFonts w:ascii="仿宋" w:hAnsi="仿宋" w:eastAsia="仿宋"/>
        </w:rPr>
        <w:t>未出现人员死亡，仅导致5人以下中毒、重伤，或多人轻伤；</w:t>
      </w:r>
    </w:p>
    <w:p>
      <w:pPr>
        <w:pStyle w:val="4"/>
        <w:ind w:firstLine="560"/>
        <w:rPr>
          <w:rFonts w:ascii="仿宋" w:hAnsi="仿宋" w:eastAsia="仿宋"/>
        </w:rPr>
      </w:pPr>
      <w:r>
        <w:rPr>
          <w:rFonts w:hint="eastAsia" w:ascii="仿宋" w:hAnsi="仿宋" w:eastAsia="仿宋"/>
        </w:rPr>
        <w:t>（4）因危废渗滤液</w:t>
      </w:r>
      <w:r>
        <w:rPr>
          <w:rFonts w:ascii="仿宋" w:hAnsi="仿宋" w:eastAsia="仿宋"/>
        </w:rPr>
        <w:t>泄</w:t>
      </w:r>
      <w:r>
        <w:rPr>
          <w:rFonts w:hint="eastAsia" w:ascii="仿宋" w:hAnsi="仿宋" w:eastAsia="仿宋"/>
        </w:rPr>
        <w:t>漏导致厂内区域污染。</w:t>
      </w:r>
    </w:p>
    <w:p>
      <w:pPr>
        <w:pStyle w:val="4"/>
        <w:ind w:firstLine="560"/>
        <w:rPr>
          <w:rFonts w:ascii="仿宋" w:hAnsi="仿宋" w:eastAsia="仿宋"/>
        </w:rPr>
      </w:pPr>
      <w:r>
        <w:rPr>
          <w:rFonts w:hint="eastAsia" w:ascii="仿宋" w:hAnsi="仿宋" w:eastAsia="仿宋"/>
          <w:lang w:val="en-US" w:eastAsia="zh-CN"/>
        </w:rPr>
        <w:t>4</w:t>
      </w:r>
      <w:r>
        <w:rPr>
          <w:rFonts w:ascii="仿宋" w:hAnsi="仿宋" w:eastAsia="仿宋"/>
        </w:rPr>
        <w:t>、一般环保事故(</w:t>
      </w:r>
      <w:r>
        <w:rPr>
          <w:rFonts w:hint="eastAsia" w:ascii="仿宋" w:hAnsi="仿宋" w:eastAsia="仿宋" w:cs="宋体"/>
        </w:rPr>
        <w:t>Ⅲ</w:t>
      </w:r>
      <w:r>
        <w:rPr>
          <w:rFonts w:ascii="仿宋" w:hAnsi="仿宋" w:eastAsia="仿宋"/>
        </w:rPr>
        <w:t>级)</w:t>
      </w:r>
    </w:p>
    <w:p>
      <w:pPr>
        <w:pStyle w:val="4"/>
        <w:ind w:firstLine="560"/>
        <w:rPr>
          <w:rFonts w:ascii="仿宋" w:hAnsi="仿宋" w:eastAsia="仿宋"/>
        </w:rPr>
      </w:pPr>
      <w:r>
        <w:rPr>
          <w:rFonts w:ascii="仿宋" w:hAnsi="仿宋" w:eastAsia="仿宋"/>
        </w:rPr>
        <w:t>凡符合下列情形之一的，为一般环境事件：</w:t>
      </w:r>
    </w:p>
    <w:p>
      <w:pPr>
        <w:pStyle w:val="4"/>
        <w:ind w:firstLine="560"/>
        <w:rPr>
          <w:rFonts w:ascii="仿宋" w:hAnsi="仿宋" w:eastAsia="仿宋"/>
        </w:rPr>
      </w:pPr>
      <w:r>
        <w:rPr>
          <w:rFonts w:hint="eastAsia" w:ascii="仿宋" w:hAnsi="仿宋" w:eastAsia="仿宋"/>
        </w:rPr>
        <w:t>（1）</w:t>
      </w:r>
      <w:r>
        <w:rPr>
          <w:rFonts w:ascii="仿宋" w:hAnsi="仿宋" w:eastAsia="仿宋"/>
        </w:rPr>
        <w:t>造成直接经济损失在千元以上、万元以下</w:t>
      </w:r>
      <w:r>
        <w:rPr>
          <w:rFonts w:hint="eastAsia" w:ascii="仿宋" w:hAnsi="仿宋" w:eastAsia="仿宋"/>
        </w:rPr>
        <w:t>（</w:t>
      </w:r>
      <w:r>
        <w:rPr>
          <w:rFonts w:ascii="仿宋" w:hAnsi="仿宋" w:eastAsia="仿宋"/>
        </w:rPr>
        <w:t>含</w:t>
      </w:r>
      <w:r>
        <w:rPr>
          <w:rFonts w:hint="eastAsia" w:ascii="仿宋" w:hAnsi="仿宋" w:eastAsia="仿宋"/>
        </w:rPr>
        <w:t>1万元）</w:t>
      </w:r>
      <w:r>
        <w:rPr>
          <w:rFonts w:ascii="仿宋" w:hAnsi="仿宋" w:eastAsia="仿宋"/>
        </w:rPr>
        <w:t>的；</w:t>
      </w:r>
    </w:p>
    <w:p>
      <w:pPr>
        <w:pStyle w:val="4"/>
        <w:ind w:firstLine="560"/>
        <w:rPr>
          <w:rFonts w:ascii="仿宋" w:hAnsi="仿宋" w:eastAsia="仿宋"/>
        </w:rPr>
      </w:pPr>
      <w:r>
        <w:rPr>
          <w:rFonts w:hint="eastAsia" w:ascii="仿宋" w:hAnsi="仿宋" w:eastAsia="仿宋"/>
        </w:rPr>
        <w:t>（2）</w:t>
      </w:r>
      <w:r>
        <w:rPr>
          <w:rFonts w:ascii="仿宋" w:hAnsi="仿宋" w:eastAsia="仿宋"/>
        </w:rPr>
        <w:t>公司发生</w:t>
      </w:r>
      <w:r>
        <w:rPr>
          <w:rFonts w:hint="eastAsia" w:ascii="仿宋" w:hAnsi="仿宋" w:eastAsia="仿宋"/>
        </w:rPr>
        <w:t>轻柴油</w:t>
      </w:r>
      <w:r>
        <w:rPr>
          <w:rFonts w:ascii="仿宋" w:hAnsi="仿宋" w:eastAsia="仿宋"/>
        </w:rPr>
        <w:t>火灾爆炸事故</w:t>
      </w:r>
      <w:r>
        <w:rPr>
          <w:rFonts w:hint="eastAsia" w:ascii="仿宋" w:hAnsi="仿宋" w:eastAsia="仿宋"/>
        </w:rPr>
        <w:t>，</w:t>
      </w:r>
      <w:r>
        <w:rPr>
          <w:rFonts w:ascii="仿宋" w:hAnsi="仿宋" w:eastAsia="仿宋"/>
        </w:rPr>
        <w:t>无人员死亡或重伤，仅有少部分人轻伤；</w:t>
      </w:r>
    </w:p>
    <w:p>
      <w:pPr>
        <w:pStyle w:val="4"/>
        <w:ind w:firstLine="560"/>
        <w:rPr>
          <w:rFonts w:ascii="仿宋" w:hAnsi="仿宋" w:eastAsia="仿宋"/>
        </w:rPr>
      </w:pPr>
      <w:r>
        <w:rPr>
          <w:rFonts w:hint="eastAsia" w:ascii="仿宋" w:hAnsi="仿宋" w:eastAsia="仿宋"/>
        </w:rPr>
        <w:t>（3）因盐酸、硫酸处理或贮运过程中发生</w:t>
      </w:r>
      <w:r>
        <w:rPr>
          <w:rFonts w:ascii="仿宋" w:hAnsi="仿宋" w:eastAsia="仿宋"/>
        </w:rPr>
        <w:t>泄漏事故</w:t>
      </w:r>
      <w:r>
        <w:rPr>
          <w:rFonts w:hint="eastAsia" w:ascii="仿宋" w:hAnsi="仿宋" w:eastAsia="仿宋"/>
        </w:rPr>
        <w:t>，</w:t>
      </w:r>
      <w:r>
        <w:rPr>
          <w:rFonts w:ascii="仿宋" w:hAnsi="仿宋" w:eastAsia="仿宋"/>
        </w:rPr>
        <w:t>无人员死亡或重伤，仅有少部分人轻伤；</w:t>
      </w:r>
    </w:p>
    <w:p>
      <w:pPr>
        <w:pStyle w:val="4"/>
        <w:ind w:firstLine="560"/>
        <w:rPr>
          <w:rFonts w:ascii="仿宋" w:hAnsi="仿宋" w:eastAsia="仿宋"/>
        </w:rPr>
      </w:pPr>
      <w:r>
        <w:rPr>
          <w:rFonts w:hint="eastAsia" w:ascii="仿宋" w:hAnsi="仿宋" w:eastAsia="仿宋"/>
        </w:rPr>
        <w:t>（4）盐酸、硫酸轻柴油</w:t>
      </w:r>
      <w:r>
        <w:rPr>
          <w:rFonts w:ascii="仿宋" w:hAnsi="仿宋" w:eastAsia="仿宋"/>
        </w:rPr>
        <w:t>泄漏气味引起部分群众不满</w:t>
      </w:r>
      <w:r>
        <w:rPr>
          <w:rFonts w:hint="eastAsia" w:ascii="仿宋" w:hAnsi="仿宋" w:eastAsia="仿宋"/>
        </w:rPr>
        <w:t>。</w:t>
      </w:r>
    </w:p>
    <w:p>
      <w:pPr>
        <w:pStyle w:val="3"/>
        <w:rPr>
          <w:rFonts w:ascii="仿宋" w:hAnsi="仿宋" w:eastAsia="仿宋"/>
        </w:rPr>
      </w:pPr>
      <w:bookmarkStart w:id="34" w:name="_Toc243967869"/>
      <w:bookmarkStart w:id="35" w:name="_Toc225244050"/>
      <w:bookmarkStart w:id="36" w:name="_Toc224965867"/>
      <w:bookmarkStart w:id="37" w:name="_Toc328731286"/>
      <w:bookmarkStart w:id="38" w:name="_Toc278186382"/>
      <w:bookmarkStart w:id="39" w:name="_Toc243967963"/>
      <w:bookmarkStart w:id="40" w:name="_Toc243813813"/>
      <w:bookmarkStart w:id="41" w:name="_Toc4038"/>
      <w:r>
        <w:rPr>
          <w:rFonts w:ascii="仿宋" w:hAnsi="仿宋" w:eastAsia="仿宋"/>
        </w:rPr>
        <w:t>1.4</w:t>
      </w:r>
      <w:bookmarkEnd w:id="34"/>
      <w:bookmarkEnd w:id="35"/>
      <w:bookmarkEnd w:id="36"/>
      <w:bookmarkEnd w:id="37"/>
      <w:bookmarkEnd w:id="38"/>
      <w:bookmarkEnd w:id="39"/>
      <w:bookmarkEnd w:id="40"/>
      <w:r>
        <w:rPr>
          <w:rFonts w:ascii="仿宋" w:hAnsi="仿宋" w:eastAsia="仿宋"/>
        </w:rPr>
        <w:t>适用范围</w:t>
      </w:r>
      <w:bookmarkEnd w:id="41"/>
    </w:p>
    <w:p>
      <w:pPr>
        <w:pStyle w:val="4"/>
        <w:ind w:firstLine="560"/>
        <w:rPr>
          <w:rFonts w:ascii="仿宋" w:hAnsi="仿宋" w:eastAsia="仿宋"/>
        </w:rPr>
      </w:pPr>
      <w:r>
        <w:rPr>
          <w:rFonts w:hint="eastAsia" w:ascii="仿宋" w:hAnsi="仿宋" w:eastAsia="仿宋"/>
        </w:rPr>
        <w:t>本预案适用于江西</w:t>
      </w:r>
      <w:r>
        <w:rPr>
          <w:rFonts w:hint="eastAsia" w:ascii="仿宋" w:hAnsi="仿宋" w:eastAsia="仿宋"/>
          <w:lang w:eastAsia="zh-CN"/>
        </w:rPr>
        <w:t>省愚人纳米科技</w:t>
      </w:r>
      <w:r>
        <w:rPr>
          <w:rFonts w:hint="eastAsia" w:ascii="仿宋" w:hAnsi="仿宋" w:eastAsia="仿宋"/>
        </w:rPr>
        <w:t>有限公司厂区发生的突发环境事件的处置和突发事件的应急救援等。</w:t>
      </w:r>
    </w:p>
    <w:p>
      <w:pPr>
        <w:pStyle w:val="3"/>
        <w:rPr>
          <w:rFonts w:ascii="仿宋" w:hAnsi="仿宋" w:eastAsia="仿宋"/>
        </w:rPr>
      </w:pPr>
      <w:bookmarkStart w:id="42" w:name="_Toc328731287"/>
      <w:bookmarkStart w:id="43" w:name="_Toc225244051"/>
      <w:bookmarkStart w:id="44" w:name="_Toc243967870"/>
      <w:bookmarkStart w:id="45" w:name="_Toc224965868"/>
      <w:bookmarkStart w:id="46" w:name="_Toc243967964"/>
      <w:bookmarkStart w:id="47" w:name="_Toc278186383"/>
      <w:bookmarkStart w:id="48" w:name="_Toc243813814"/>
      <w:bookmarkStart w:id="49" w:name="_Toc25848"/>
      <w:r>
        <w:rPr>
          <w:rFonts w:ascii="仿宋" w:hAnsi="仿宋" w:eastAsia="仿宋"/>
        </w:rPr>
        <w:t>1.5</w:t>
      </w:r>
      <w:bookmarkEnd w:id="42"/>
      <w:bookmarkEnd w:id="43"/>
      <w:bookmarkEnd w:id="44"/>
      <w:bookmarkEnd w:id="45"/>
      <w:bookmarkEnd w:id="46"/>
      <w:bookmarkEnd w:id="47"/>
      <w:bookmarkEnd w:id="48"/>
      <w:r>
        <w:rPr>
          <w:rFonts w:ascii="仿宋" w:hAnsi="仿宋" w:eastAsia="仿宋"/>
        </w:rPr>
        <w:t>应急预案体系</w:t>
      </w:r>
      <w:bookmarkEnd w:id="49"/>
    </w:p>
    <w:p>
      <w:pPr>
        <w:pStyle w:val="4"/>
        <w:ind w:firstLine="560"/>
        <w:rPr>
          <w:rFonts w:ascii="仿宋" w:hAnsi="仿宋" w:eastAsia="仿宋"/>
        </w:rPr>
      </w:pPr>
      <w:r>
        <w:rPr>
          <w:rFonts w:hint="eastAsia" w:ascii="仿宋" w:hAnsi="仿宋" w:eastAsia="仿宋"/>
        </w:rPr>
        <w:t>应急预案体系由综合应急预案、专项应急预案、现场处置方案构成。综合应急预案是公司各部门制定并共同签署的应急工作总体预案，是公司应对突发事件的规范性文件。专项应急预案是应对某一类型或某几种类型突发事件而制定的具体的应急操作预案。现场处理方案是针对具体的装置、场所或设施、岗位制定的预案处置措施。</w:t>
      </w:r>
    </w:p>
    <w:p>
      <w:pPr>
        <w:pStyle w:val="4"/>
        <w:ind w:firstLine="560"/>
        <w:rPr>
          <w:rFonts w:ascii="仿宋" w:hAnsi="仿宋" w:eastAsia="仿宋"/>
          <w:szCs w:val="28"/>
        </w:rPr>
      </w:pPr>
      <w:r>
        <w:rPr>
          <w:rFonts w:hint="eastAsia" w:ascii="仿宋" w:hAnsi="仿宋" w:eastAsia="仿宋"/>
        </w:rPr>
        <w:t>本次公司根据有关法律、法规、规章、上级人民政府及其有关部门要求，针对公司的实际情况制定公司的环境突发事件综合性总体应急预案。同时，根据实</w:t>
      </w:r>
      <w:r>
        <w:rPr>
          <w:rFonts w:ascii="仿宋" w:hAnsi="仿宋" w:eastAsia="仿宋"/>
        </w:rPr>
        <w:t>际需要和情势变化，单位应适时修订应急预案，完善应急预案体系，应急预案的制定、修订程序根据相关部门规定执行。</w:t>
      </w:r>
    </w:p>
    <w:p>
      <w:pPr>
        <w:pStyle w:val="3"/>
        <w:rPr>
          <w:rFonts w:ascii="仿宋" w:hAnsi="仿宋" w:eastAsia="仿宋"/>
        </w:rPr>
      </w:pPr>
      <w:bookmarkStart w:id="50" w:name="_Toc318359664"/>
      <w:bookmarkStart w:id="51" w:name="_Toc326113520"/>
      <w:bookmarkStart w:id="52" w:name="_Toc25254"/>
      <w:r>
        <w:rPr>
          <w:rFonts w:ascii="仿宋" w:hAnsi="仿宋" w:eastAsia="仿宋"/>
        </w:rPr>
        <w:t>1.6</w:t>
      </w:r>
      <w:bookmarkEnd w:id="50"/>
      <w:bookmarkEnd w:id="51"/>
      <w:r>
        <w:rPr>
          <w:rFonts w:ascii="仿宋" w:hAnsi="仿宋" w:eastAsia="仿宋"/>
        </w:rPr>
        <w:t>工作原则</w:t>
      </w:r>
      <w:bookmarkEnd w:id="52"/>
    </w:p>
    <w:p>
      <w:pPr>
        <w:pStyle w:val="4"/>
        <w:ind w:firstLine="560"/>
        <w:rPr>
          <w:rFonts w:ascii="仿宋" w:hAnsi="仿宋" w:eastAsia="仿宋"/>
        </w:rPr>
      </w:pPr>
      <w:r>
        <w:rPr>
          <w:rFonts w:hint="eastAsia" w:ascii="仿宋" w:hAnsi="仿宋" w:eastAsia="仿宋"/>
        </w:rPr>
        <w:t>（1）加强对环境风险源的监控，建立有效的风险防范体系，尽可能避免环境污染事件的发生。</w:t>
      </w:r>
    </w:p>
    <w:p>
      <w:pPr>
        <w:pStyle w:val="4"/>
        <w:ind w:firstLine="560"/>
        <w:rPr>
          <w:rFonts w:ascii="仿宋" w:hAnsi="仿宋" w:eastAsia="仿宋"/>
        </w:rPr>
      </w:pPr>
      <w:r>
        <w:rPr>
          <w:rFonts w:hint="eastAsia" w:ascii="仿宋" w:hAnsi="仿宋" w:eastAsia="仿宋"/>
        </w:rPr>
        <w:t>（2）加强各部门的合作，提高反应能力，实行分级响应。</w:t>
      </w:r>
    </w:p>
    <w:p>
      <w:pPr>
        <w:pStyle w:val="4"/>
        <w:ind w:firstLine="560"/>
        <w:rPr>
          <w:rFonts w:ascii="仿宋" w:hAnsi="仿宋" w:eastAsia="仿宋"/>
          <w:color w:val="FF0000"/>
        </w:rPr>
      </w:pPr>
      <w:r>
        <w:rPr>
          <w:rFonts w:hint="eastAsia" w:ascii="仿宋" w:hAnsi="仿宋" w:eastAsia="仿宋"/>
        </w:rPr>
        <w:t>（3）做好应对突发污染事件的物资和技术准备，加强培训演练。</w:t>
      </w:r>
    </w:p>
    <w:p>
      <w:pPr>
        <w:pStyle w:val="2"/>
        <w:rPr>
          <w:rFonts w:ascii="仿宋" w:hAnsi="仿宋" w:eastAsia="仿宋"/>
        </w:rPr>
      </w:pPr>
      <w:bookmarkStart w:id="53" w:name="_Toc278186384"/>
      <w:bookmarkStart w:id="54" w:name="_Toc243967871"/>
      <w:bookmarkStart w:id="55" w:name="_Toc243967965"/>
      <w:bookmarkStart w:id="56" w:name="_Toc243813815"/>
      <w:bookmarkStart w:id="57" w:name="_Toc328731288"/>
      <w:bookmarkStart w:id="58" w:name="_Toc224965869"/>
      <w:bookmarkStart w:id="59" w:name="_Toc7809"/>
      <w:bookmarkStart w:id="60" w:name="_Toc225244052"/>
      <w:r>
        <w:rPr>
          <w:rFonts w:ascii="仿宋" w:hAnsi="仿宋" w:eastAsia="仿宋"/>
        </w:rPr>
        <w:t>2基本情况</w:t>
      </w:r>
      <w:bookmarkEnd w:id="53"/>
      <w:bookmarkEnd w:id="54"/>
      <w:bookmarkEnd w:id="55"/>
      <w:bookmarkEnd w:id="56"/>
      <w:bookmarkEnd w:id="57"/>
      <w:bookmarkEnd w:id="58"/>
      <w:bookmarkEnd w:id="59"/>
      <w:bookmarkEnd w:id="60"/>
    </w:p>
    <w:p>
      <w:pPr>
        <w:pStyle w:val="3"/>
        <w:rPr>
          <w:rFonts w:ascii="仿宋" w:hAnsi="仿宋" w:eastAsia="仿宋"/>
        </w:rPr>
      </w:pPr>
      <w:bookmarkStart w:id="61" w:name="_Toc243967872"/>
      <w:bookmarkStart w:id="62" w:name="_Toc1582"/>
      <w:bookmarkStart w:id="63" w:name="_Toc328731289"/>
      <w:bookmarkStart w:id="64" w:name="_Toc278186385"/>
      <w:bookmarkStart w:id="65" w:name="_Toc243967966"/>
      <w:r>
        <w:rPr>
          <w:rFonts w:ascii="仿宋" w:hAnsi="仿宋" w:eastAsia="仿宋"/>
        </w:rPr>
        <w:t>2.1企业概况</w:t>
      </w:r>
      <w:bookmarkEnd w:id="61"/>
      <w:bookmarkEnd w:id="62"/>
      <w:bookmarkEnd w:id="63"/>
      <w:bookmarkEnd w:id="64"/>
      <w:bookmarkEnd w:id="65"/>
    </w:p>
    <w:p>
      <w:pPr>
        <w:pStyle w:val="132"/>
        <w:rPr>
          <w:rFonts w:ascii="仿宋" w:hAnsi="仿宋" w:eastAsia="仿宋"/>
        </w:rPr>
      </w:pPr>
      <w:bookmarkStart w:id="66" w:name="_Toc328731290"/>
      <w:bookmarkStart w:id="67" w:name="_Toc177909749"/>
      <w:bookmarkStart w:id="68" w:name="_Toc154458167"/>
      <w:bookmarkStart w:id="69" w:name="_Toc3995"/>
      <w:r>
        <w:rPr>
          <w:rFonts w:ascii="仿宋" w:hAnsi="仿宋" w:eastAsia="仿宋"/>
        </w:rPr>
        <w:t>2.1.1企业名称、法人代表、联系人、联系电话</w:t>
      </w:r>
      <w:bookmarkEnd w:id="66"/>
      <w:bookmarkEnd w:id="67"/>
      <w:bookmarkEnd w:id="68"/>
      <w:bookmarkEnd w:id="69"/>
    </w:p>
    <w:p>
      <w:pPr>
        <w:pStyle w:val="4"/>
        <w:ind w:firstLine="560"/>
        <w:rPr>
          <w:rFonts w:ascii="仿宋" w:hAnsi="仿宋" w:eastAsia="仿宋"/>
        </w:rPr>
      </w:pPr>
      <w:r>
        <w:rPr>
          <w:rFonts w:ascii="仿宋" w:hAnsi="仿宋" w:eastAsia="仿宋"/>
        </w:rPr>
        <w:t>企业名称：</w:t>
      </w: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w:t>
      </w:r>
    </w:p>
    <w:p>
      <w:pPr>
        <w:pStyle w:val="4"/>
        <w:ind w:firstLine="560"/>
        <w:rPr>
          <w:rFonts w:hint="eastAsia" w:ascii="仿宋" w:hAnsi="仿宋" w:eastAsia="仿宋"/>
          <w:lang w:eastAsia="zh-CN"/>
        </w:rPr>
      </w:pPr>
      <w:r>
        <w:rPr>
          <w:rFonts w:ascii="仿宋" w:hAnsi="仿宋" w:eastAsia="仿宋"/>
        </w:rPr>
        <w:t>法人代表：</w:t>
      </w:r>
      <w:r>
        <w:rPr>
          <w:rFonts w:hint="eastAsia" w:ascii="仿宋" w:hAnsi="仿宋" w:eastAsia="仿宋"/>
          <w:lang w:eastAsia="zh-CN"/>
        </w:rPr>
        <w:t>邓许生</w:t>
      </w:r>
    </w:p>
    <w:p>
      <w:pPr>
        <w:pStyle w:val="4"/>
        <w:ind w:firstLine="560"/>
        <w:rPr>
          <w:rFonts w:hint="eastAsia" w:ascii="仿宋" w:hAnsi="仿宋" w:eastAsia="仿宋"/>
          <w:lang w:eastAsia="zh-CN"/>
        </w:rPr>
      </w:pPr>
      <w:r>
        <w:rPr>
          <w:rFonts w:ascii="仿宋" w:hAnsi="仿宋" w:eastAsia="仿宋"/>
        </w:rPr>
        <w:t>联 系 人</w:t>
      </w:r>
      <w:r>
        <w:rPr>
          <w:rFonts w:hint="eastAsia" w:ascii="仿宋" w:hAnsi="仿宋" w:eastAsia="仿宋"/>
        </w:rPr>
        <w:t>：</w:t>
      </w:r>
      <w:r>
        <w:rPr>
          <w:rFonts w:hint="eastAsia" w:ascii="仿宋" w:hAnsi="仿宋" w:eastAsia="仿宋"/>
          <w:lang w:eastAsia="zh-CN"/>
        </w:rPr>
        <w:t>艾跃雄</w:t>
      </w:r>
    </w:p>
    <w:p>
      <w:pPr>
        <w:pStyle w:val="4"/>
        <w:ind w:firstLine="560"/>
        <w:rPr>
          <w:rFonts w:hint="eastAsia" w:ascii="仿宋" w:hAnsi="仿宋" w:eastAsia="仿宋"/>
          <w:lang w:val="en-US" w:eastAsia="zh-CN"/>
        </w:rPr>
      </w:pPr>
      <w:r>
        <w:rPr>
          <w:rFonts w:ascii="仿宋" w:hAnsi="仿宋" w:eastAsia="仿宋"/>
        </w:rPr>
        <w:t>联系电话</w:t>
      </w:r>
      <w:r>
        <w:rPr>
          <w:rFonts w:hint="eastAsia" w:ascii="仿宋" w:hAnsi="仿宋" w:eastAsia="仿宋"/>
        </w:rPr>
        <w:t>：</w:t>
      </w:r>
      <w:r>
        <w:rPr>
          <w:rFonts w:hint="eastAsia" w:ascii="仿宋" w:hAnsi="仿宋" w:eastAsia="仿宋"/>
          <w:bCs/>
        </w:rPr>
        <w:t>13</w:t>
      </w:r>
      <w:r>
        <w:rPr>
          <w:rFonts w:hint="eastAsia" w:ascii="仿宋" w:hAnsi="仿宋" w:eastAsia="仿宋"/>
          <w:bCs/>
          <w:lang w:val="en-US" w:eastAsia="zh-CN"/>
        </w:rPr>
        <w:t>755452487</w:t>
      </w:r>
    </w:p>
    <w:p>
      <w:pPr>
        <w:pStyle w:val="132"/>
        <w:rPr>
          <w:rFonts w:ascii="仿宋" w:hAnsi="仿宋" w:eastAsia="仿宋"/>
        </w:rPr>
      </w:pPr>
      <w:bookmarkStart w:id="70" w:name="_Toc15210"/>
      <w:bookmarkStart w:id="71" w:name="_Toc328731291"/>
      <w:r>
        <w:rPr>
          <w:rFonts w:ascii="仿宋" w:hAnsi="仿宋" w:eastAsia="仿宋"/>
        </w:rPr>
        <w:t>2.1.2通讯地址及邮政编码</w:t>
      </w:r>
      <w:bookmarkEnd w:id="70"/>
      <w:bookmarkEnd w:id="71"/>
    </w:p>
    <w:p>
      <w:pPr>
        <w:pStyle w:val="4"/>
        <w:ind w:firstLine="560"/>
        <w:rPr>
          <w:rFonts w:ascii="仿宋" w:hAnsi="仿宋" w:eastAsia="仿宋"/>
        </w:rPr>
      </w:pPr>
      <w:r>
        <w:rPr>
          <w:rFonts w:ascii="仿宋" w:hAnsi="仿宋" w:eastAsia="仿宋"/>
        </w:rPr>
        <w:t>通讯地址：</w:t>
      </w:r>
      <w:r>
        <w:rPr>
          <w:rFonts w:hint="eastAsia" w:ascii="仿宋" w:hAnsi="仿宋" w:eastAsia="仿宋"/>
          <w:bCs/>
        </w:rPr>
        <w:t>江西省吉安市新干县盐化城</w:t>
      </w:r>
    </w:p>
    <w:p>
      <w:pPr>
        <w:pStyle w:val="4"/>
        <w:ind w:firstLine="560"/>
        <w:rPr>
          <w:rFonts w:ascii="仿宋" w:hAnsi="仿宋" w:eastAsia="仿宋"/>
        </w:rPr>
      </w:pPr>
      <w:r>
        <w:rPr>
          <w:rFonts w:ascii="仿宋" w:hAnsi="仿宋" w:eastAsia="仿宋"/>
        </w:rPr>
        <w:t>邮政编码：</w:t>
      </w:r>
      <w:r>
        <w:rPr>
          <w:rFonts w:hint="eastAsia" w:ascii="仿宋" w:hAnsi="仿宋" w:eastAsia="仿宋"/>
        </w:rPr>
        <w:t>331300</w:t>
      </w:r>
    </w:p>
    <w:p>
      <w:pPr>
        <w:pStyle w:val="132"/>
        <w:rPr>
          <w:rFonts w:ascii="仿宋" w:hAnsi="仿宋" w:eastAsia="仿宋"/>
        </w:rPr>
      </w:pPr>
      <w:bookmarkStart w:id="72" w:name="_Toc328731292"/>
      <w:bookmarkStart w:id="73" w:name="_Toc154458171"/>
      <w:bookmarkStart w:id="74" w:name="_Toc177909754"/>
      <w:bookmarkStart w:id="75" w:name="_Toc878"/>
      <w:r>
        <w:rPr>
          <w:rFonts w:ascii="仿宋" w:hAnsi="仿宋" w:eastAsia="仿宋"/>
        </w:rPr>
        <w:t>2.1.3工作班制、员工人数</w:t>
      </w:r>
      <w:bookmarkEnd w:id="72"/>
      <w:bookmarkEnd w:id="73"/>
      <w:bookmarkEnd w:id="74"/>
      <w:bookmarkEnd w:id="75"/>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有限公司劳动定员</w:t>
      </w:r>
      <w:r>
        <w:rPr>
          <w:rFonts w:hint="eastAsia" w:ascii="仿宋" w:hAnsi="仿宋" w:eastAsia="仿宋"/>
          <w:lang w:val="en-US" w:eastAsia="zh-CN"/>
        </w:rPr>
        <w:t>60</w:t>
      </w:r>
      <w:r>
        <w:rPr>
          <w:rFonts w:hint="eastAsia" w:ascii="仿宋" w:hAnsi="仿宋" w:eastAsia="仿宋"/>
        </w:rPr>
        <w:t>人，工作制度详见表2.1-1。</w:t>
      </w:r>
    </w:p>
    <w:p>
      <w:pPr>
        <w:pStyle w:val="4"/>
        <w:ind w:firstLine="0" w:firstLineChars="0"/>
        <w:jc w:val="center"/>
        <w:rPr>
          <w:rFonts w:ascii="仿宋" w:hAnsi="仿宋" w:eastAsia="仿宋"/>
          <w:b/>
          <w:sz w:val="24"/>
        </w:rPr>
      </w:pPr>
      <w:r>
        <w:rPr>
          <w:rFonts w:hint="eastAsia" w:ascii="仿宋" w:hAnsi="仿宋" w:eastAsia="仿宋"/>
          <w:b/>
          <w:sz w:val="24"/>
        </w:rPr>
        <w:t>表2.1-1  工作制度</w:t>
      </w:r>
    </w:p>
    <w:tbl>
      <w:tblPr>
        <w:tblStyle w:val="40"/>
        <w:tblW w:w="94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1701"/>
        <w:gridCol w:w="4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序号</w:t>
            </w:r>
          </w:p>
        </w:tc>
        <w:tc>
          <w:tcPr>
            <w:tcW w:w="2835"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车间</w:t>
            </w:r>
          </w:p>
        </w:tc>
        <w:tc>
          <w:tcPr>
            <w:tcW w:w="1701"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工作天数</w:t>
            </w:r>
          </w:p>
        </w:tc>
        <w:tc>
          <w:tcPr>
            <w:tcW w:w="407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工作制度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1</w:t>
            </w:r>
          </w:p>
        </w:tc>
        <w:tc>
          <w:tcPr>
            <w:tcW w:w="2835"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lang w:eastAsia="zh-CN"/>
              </w:rPr>
              <w:t>氯化锌反应</w:t>
            </w:r>
            <w:r>
              <w:rPr>
                <w:rFonts w:hint="eastAsia" w:ascii="仿宋" w:hAnsi="仿宋" w:eastAsia="仿宋"/>
                <w:sz w:val="21"/>
                <w:szCs w:val="21"/>
              </w:rPr>
              <w:t>车间</w:t>
            </w:r>
          </w:p>
        </w:tc>
        <w:tc>
          <w:tcPr>
            <w:tcW w:w="1701"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300</w:t>
            </w:r>
          </w:p>
        </w:tc>
        <w:tc>
          <w:tcPr>
            <w:tcW w:w="407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8小时一班，三班工作制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2</w:t>
            </w:r>
          </w:p>
        </w:tc>
        <w:tc>
          <w:tcPr>
            <w:tcW w:w="2835"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lang w:eastAsia="zh-CN"/>
              </w:rPr>
              <w:t>氯化锌浓缩</w:t>
            </w:r>
            <w:r>
              <w:rPr>
                <w:rFonts w:hint="eastAsia" w:ascii="仿宋" w:hAnsi="仿宋" w:eastAsia="仿宋"/>
                <w:sz w:val="21"/>
                <w:szCs w:val="21"/>
              </w:rPr>
              <w:t>车间</w:t>
            </w:r>
          </w:p>
        </w:tc>
        <w:tc>
          <w:tcPr>
            <w:tcW w:w="1701"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300</w:t>
            </w:r>
          </w:p>
        </w:tc>
        <w:tc>
          <w:tcPr>
            <w:tcW w:w="407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8小时一班，三班工作制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3</w:t>
            </w:r>
          </w:p>
        </w:tc>
        <w:tc>
          <w:tcPr>
            <w:tcW w:w="2835"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lang w:eastAsia="zh-CN"/>
              </w:rPr>
              <w:t>硫酸锌反应</w:t>
            </w:r>
            <w:r>
              <w:rPr>
                <w:rFonts w:hint="eastAsia" w:ascii="仿宋" w:hAnsi="仿宋" w:eastAsia="仿宋"/>
                <w:sz w:val="21"/>
                <w:szCs w:val="21"/>
              </w:rPr>
              <w:t>车间</w:t>
            </w:r>
          </w:p>
        </w:tc>
        <w:tc>
          <w:tcPr>
            <w:tcW w:w="1701"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300</w:t>
            </w:r>
          </w:p>
        </w:tc>
        <w:tc>
          <w:tcPr>
            <w:tcW w:w="407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8小时一班，三班工作制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4</w:t>
            </w:r>
          </w:p>
        </w:tc>
        <w:tc>
          <w:tcPr>
            <w:tcW w:w="2835"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lang w:eastAsia="zh-CN"/>
              </w:rPr>
              <w:t>沉化</w:t>
            </w:r>
            <w:r>
              <w:rPr>
                <w:rFonts w:hint="eastAsia" w:ascii="仿宋" w:hAnsi="仿宋" w:eastAsia="仿宋"/>
                <w:sz w:val="21"/>
                <w:szCs w:val="21"/>
              </w:rPr>
              <w:t>车间</w:t>
            </w:r>
          </w:p>
        </w:tc>
        <w:tc>
          <w:tcPr>
            <w:tcW w:w="1701"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150</w:t>
            </w:r>
          </w:p>
        </w:tc>
        <w:tc>
          <w:tcPr>
            <w:tcW w:w="407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8小时一班，三班工作制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5</w:t>
            </w:r>
          </w:p>
        </w:tc>
        <w:tc>
          <w:tcPr>
            <w:tcW w:w="2835"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lang w:eastAsia="zh-CN"/>
              </w:rPr>
              <w:t>干燥</w:t>
            </w:r>
            <w:r>
              <w:rPr>
                <w:rFonts w:hint="eastAsia" w:ascii="仿宋" w:hAnsi="仿宋" w:eastAsia="仿宋"/>
                <w:sz w:val="21"/>
                <w:szCs w:val="21"/>
              </w:rPr>
              <w:t>车间</w:t>
            </w:r>
          </w:p>
        </w:tc>
        <w:tc>
          <w:tcPr>
            <w:tcW w:w="1701"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1</w:t>
            </w:r>
            <w:r>
              <w:rPr>
                <w:rFonts w:hint="eastAsia" w:ascii="仿宋" w:hAnsi="仿宋" w:eastAsia="仿宋"/>
                <w:sz w:val="21"/>
                <w:szCs w:val="21"/>
                <w:lang w:val="en-US" w:eastAsia="zh-CN"/>
              </w:rPr>
              <w:t>0</w:t>
            </w:r>
            <w:r>
              <w:rPr>
                <w:rFonts w:hint="eastAsia" w:ascii="仿宋" w:hAnsi="仿宋" w:eastAsia="仿宋"/>
                <w:sz w:val="21"/>
                <w:szCs w:val="21"/>
              </w:rPr>
              <w:t>0</w:t>
            </w:r>
          </w:p>
        </w:tc>
        <w:tc>
          <w:tcPr>
            <w:tcW w:w="4077" w:type="dxa"/>
            <w:vAlign w:val="center"/>
          </w:tcPr>
          <w:p>
            <w:pPr>
              <w:pStyle w:val="4"/>
              <w:spacing w:line="240" w:lineRule="auto"/>
              <w:ind w:firstLine="0" w:firstLineChars="0"/>
              <w:jc w:val="center"/>
              <w:rPr>
                <w:rFonts w:ascii="仿宋" w:hAnsi="仿宋" w:eastAsia="仿宋"/>
                <w:sz w:val="21"/>
                <w:szCs w:val="21"/>
              </w:rPr>
            </w:pPr>
            <w:r>
              <w:rPr>
                <w:rFonts w:hint="eastAsia" w:ascii="仿宋" w:hAnsi="仿宋" w:eastAsia="仿宋"/>
                <w:sz w:val="21"/>
                <w:szCs w:val="21"/>
              </w:rPr>
              <w:t>8小时一班，三班工作制</w:t>
            </w:r>
          </w:p>
        </w:tc>
      </w:tr>
    </w:tbl>
    <w:p>
      <w:pPr>
        <w:pStyle w:val="132"/>
        <w:rPr>
          <w:rFonts w:ascii="仿宋" w:hAnsi="仿宋" w:eastAsia="仿宋"/>
        </w:rPr>
      </w:pPr>
      <w:bookmarkStart w:id="76" w:name="_Toc7680"/>
      <w:bookmarkStart w:id="77" w:name="_Toc154458172"/>
      <w:bookmarkStart w:id="78" w:name="_Toc328731293"/>
      <w:bookmarkStart w:id="79" w:name="_Toc177909755"/>
      <w:r>
        <w:rPr>
          <w:rFonts w:ascii="仿宋" w:hAnsi="仿宋" w:eastAsia="仿宋"/>
        </w:rPr>
        <w:t>2.1.4占地面积、厂区分布情况</w:t>
      </w:r>
      <w:bookmarkEnd w:id="76"/>
      <w:bookmarkEnd w:id="77"/>
      <w:bookmarkEnd w:id="78"/>
      <w:bookmarkEnd w:id="79"/>
    </w:p>
    <w:p>
      <w:pPr>
        <w:pStyle w:val="4"/>
        <w:ind w:firstLine="560"/>
        <w:rPr>
          <w:rFonts w:ascii="仿宋" w:hAnsi="仿宋" w:eastAsia="仿宋"/>
        </w:rPr>
      </w:pPr>
      <w:bookmarkStart w:id="80" w:name="_Toc154458173"/>
      <w:bookmarkStart w:id="81" w:name="_Toc177909756"/>
      <w:bookmarkStart w:id="82" w:name="_Toc328836749"/>
      <w:bookmarkStart w:id="83" w:name="_Toc328836523"/>
      <w:bookmarkStart w:id="84" w:name="_Toc328836390"/>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有限公司位于江西新干盐化工业城内，地理坐标东经115°</w:t>
      </w:r>
      <w:r>
        <w:rPr>
          <w:rFonts w:hint="eastAsia" w:ascii="仿宋" w:hAnsi="仿宋" w:eastAsia="仿宋"/>
          <w:lang w:val="en-US" w:eastAsia="zh-CN"/>
        </w:rPr>
        <w:t>58</w:t>
      </w:r>
      <w:r>
        <w:rPr>
          <w:rFonts w:hint="eastAsia" w:ascii="仿宋" w:hAnsi="仿宋" w:eastAsia="仿宋"/>
        </w:rPr>
        <w:t>′，北纬27°</w:t>
      </w:r>
      <w:r>
        <w:rPr>
          <w:rFonts w:hint="eastAsia" w:ascii="仿宋" w:hAnsi="仿宋" w:eastAsia="仿宋"/>
          <w:lang w:val="en-US" w:eastAsia="zh-CN"/>
        </w:rPr>
        <w:t>53</w:t>
      </w:r>
      <w:r>
        <w:rPr>
          <w:rFonts w:hint="eastAsia" w:ascii="仿宋" w:hAnsi="仿宋" w:eastAsia="仿宋"/>
        </w:rPr>
        <w:t>′</w:t>
      </w:r>
      <w:r>
        <w:rPr>
          <w:rFonts w:ascii="仿宋" w:hAnsi="仿宋" w:eastAsia="仿宋"/>
        </w:rPr>
        <w:t>。厂区占地面积为</w:t>
      </w:r>
      <w:r>
        <w:rPr>
          <w:rFonts w:hint="eastAsia" w:ascii="仿宋" w:hAnsi="仿宋" w:eastAsia="仿宋"/>
          <w:lang w:val="en-US" w:eastAsia="zh-CN"/>
        </w:rPr>
        <w:t>47214</w:t>
      </w:r>
      <w:r>
        <w:rPr>
          <w:rFonts w:ascii="仿宋" w:hAnsi="仿宋" w:eastAsia="仿宋"/>
        </w:rPr>
        <w:t>平方米</w:t>
      </w:r>
      <w:r>
        <w:rPr>
          <w:rFonts w:hint="eastAsia" w:ascii="仿宋" w:hAnsi="仿宋" w:eastAsia="仿宋"/>
        </w:rPr>
        <w:t>。</w:t>
      </w:r>
    </w:p>
    <w:bookmarkEnd w:id="80"/>
    <w:bookmarkEnd w:id="81"/>
    <w:bookmarkEnd w:id="82"/>
    <w:bookmarkEnd w:id="83"/>
    <w:bookmarkEnd w:id="84"/>
    <w:p>
      <w:pPr>
        <w:pStyle w:val="3"/>
        <w:rPr>
          <w:rFonts w:ascii="仿宋" w:hAnsi="仿宋" w:eastAsia="仿宋"/>
        </w:rPr>
      </w:pPr>
      <w:bookmarkStart w:id="85" w:name="_Toc14238"/>
      <w:bookmarkStart w:id="86" w:name="_Toc328836750"/>
      <w:bookmarkStart w:id="87" w:name="_Toc328836391"/>
      <w:bookmarkStart w:id="88" w:name="_Toc328836327"/>
      <w:bookmarkStart w:id="89" w:name="_Toc328836524"/>
      <w:r>
        <w:rPr>
          <w:rFonts w:ascii="仿宋" w:hAnsi="仿宋" w:eastAsia="仿宋"/>
        </w:rPr>
        <w:t>2.2企业环境风险源基本情况</w:t>
      </w:r>
      <w:bookmarkEnd w:id="85"/>
      <w:bookmarkEnd w:id="86"/>
      <w:bookmarkEnd w:id="87"/>
      <w:bookmarkEnd w:id="88"/>
      <w:bookmarkEnd w:id="89"/>
    </w:p>
    <w:p>
      <w:pPr>
        <w:pStyle w:val="132"/>
        <w:rPr>
          <w:rFonts w:ascii="仿宋" w:hAnsi="仿宋" w:eastAsia="仿宋"/>
        </w:rPr>
      </w:pPr>
      <w:bookmarkStart w:id="90" w:name="_Toc359419354"/>
      <w:bookmarkStart w:id="91" w:name="_Toc328836392"/>
      <w:bookmarkStart w:id="92" w:name="_Toc328836525"/>
      <w:bookmarkStart w:id="93" w:name="_Toc11063"/>
      <w:bookmarkStart w:id="94" w:name="_Toc328836751"/>
      <w:r>
        <w:rPr>
          <w:rFonts w:ascii="仿宋" w:hAnsi="仿宋" w:eastAsia="仿宋"/>
        </w:rPr>
        <w:t>2.2.1公司产品产量</w:t>
      </w:r>
      <w:bookmarkEnd w:id="90"/>
      <w:bookmarkEnd w:id="91"/>
      <w:bookmarkEnd w:id="92"/>
      <w:bookmarkEnd w:id="93"/>
      <w:bookmarkEnd w:id="94"/>
    </w:p>
    <w:p>
      <w:pPr>
        <w:spacing w:line="480" w:lineRule="exact"/>
        <w:ind w:leftChars="0" w:right="0" w:rightChars="0" w:firstLine="560"/>
        <w:rPr>
          <w:rFonts w:ascii="仿宋" w:hAnsi="仿宋" w:eastAsia="仿宋"/>
          <w:szCs w:val="28"/>
        </w:rPr>
      </w:pPr>
      <w:r>
        <w:rPr>
          <w:rFonts w:ascii="仿宋" w:hAnsi="仿宋" w:eastAsia="仿宋"/>
          <w:szCs w:val="28"/>
        </w:rPr>
        <w:t>公司目前产品方案表见表2</w:t>
      </w:r>
      <w:r>
        <w:rPr>
          <w:rFonts w:hint="eastAsia" w:ascii="仿宋" w:hAnsi="仿宋" w:eastAsia="仿宋"/>
          <w:szCs w:val="28"/>
        </w:rPr>
        <w:t>.2</w:t>
      </w:r>
      <w:r>
        <w:rPr>
          <w:rFonts w:ascii="仿宋" w:hAnsi="仿宋" w:eastAsia="仿宋"/>
          <w:szCs w:val="28"/>
        </w:rPr>
        <w:t>-1。</w:t>
      </w:r>
    </w:p>
    <w:p>
      <w:pPr>
        <w:snapToGrid w:val="0"/>
        <w:spacing w:line="500" w:lineRule="exact"/>
        <w:ind w:left="0" w:leftChars="0" w:right="0" w:rightChars="0" w:firstLine="0" w:firstLineChars="0"/>
        <w:jc w:val="center"/>
        <w:rPr>
          <w:rFonts w:ascii="仿宋" w:hAnsi="仿宋" w:eastAsia="仿宋"/>
          <w:b/>
          <w:sz w:val="24"/>
        </w:rPr>
      </w:pPr>
      <w:r>
        <w:rPr>
          <w:rFonts w:ascii="仿宋" w:hAnsi="仿宋" w:eastAsia="仿宋"/>
          <w:b/>
          <w:sz w:val="24"/>
        </w:rPr>
        <w:t>表2</w:t>
      </w:r>
      <w:r>
        <w:rPr>
          <w:rFonts w:hint="eastAsia" w:ascii="仿宋" w:hAnsi="仿宋" w:eastAsia="仿宋"/>
          <w:b/>
          <w:sz w:val="24"/>
        </w:rPr>
        <w:t>.2</w:t>
      </w:r>
      <w:r>
        <w:rPr>
          <w:rFonts w:ascii="仿宋" w:hAnsi="仿宋" w:eastAsia="仿宋"/>
          <w:b/>
          <w:sz w:val="24"/>
        </w:rPr>
        <w:t>-</w:t>
      </w:r>
      <w:r>
        <w:rPr>
          <w:rFonts w:hint="eastAsia" w:ascii="仿宋" w:hAnsi="仿宋" w:eastAsia="仿宋"/>
          <w:b/>
          <w:sz w:val="24"/>
        </w:rPr>
        <w:t>1</w:t>
      </w:r>
      <w:r>
        <w:rPr>
          <w:rFonts w:ascii="仿宋" w:hAnsi="仿宋" w:eastAsia="仿宋"/>
          <w:b/>
          <w:sz w:val="24"/>
        </w:rPr>
        <w:t xml:space="preserve"> </w:t>
      </w:r>
      <w:r>
        <w:rPr>
          <w:rFonts w:hint="eastAsia" w:ascii="仿宋" w:hAnsi="仿宋" w:eastAsia="仿宋"/>
          <w:b/>
          <w:sz w:val="24"/>
        </w:rPr>
        <w:t xml:space="preserve"> </w:t>
      </w:r>
      <w:r>
        <w:rPr>
          <w:rFonts w:ascii="仿宋" w:hAnsi="仿宋" w:eastAsia="仿宋"/>
          <w:b/>
          <w:sz w:val="24"/>
        </w:rPr>
        <w:t>公司产品方案一览表</w:t>
      </w:r>
    </w:p>
    <w:tbl>
      <w:tblPr>
        <w:tblStyle w:val="39"/>
        <w:tblW w:w="85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2144"/>
        <w:gridCol w:w="214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blHeader/>
          <w:jc w:val="center"/>
        </w:trPr>
        <w:tc>
          <w:tcPr>
            <w:tcW w:w="2144" w:type="dxa"/>
            <w:tcBorders>
              <w:bottom w:val="single" w:color="auto" w:sz="4" w:space="0"/>
            </w:tcBorders>
            <w:tcMar>
              <w:left w:w="0" w:type="dxa"/>
              <w:right w:w="0" w:type="dxa"/>
            </w:tcMar>
            <w:vAlign w:val="center"/>
          </w:tcPr>
          <w:p>
            <w:pPr>
              <w:spacing w:line="400" w:lineRule="exact"/>
              <w:ind w:leftChars="0" w:right="0" w:rightChars="0" w:firstLine="0" w:firstLineChars="0"/>
              <w:jc w:val="center"/>
              <w:rPr>
                <w:rFonts w:ascii="仿宋" w:hAnsi="仿宋" w:eastAsia="仿宋"/>
                <w:sz w:val="21"/>
                <w:szCs w:val="21"/>
              </w:rPr>
            </w:pPr>
            <w:bookmarkStart w:id="95" w:name="_Toc359419355"/>
            <w:bookmarkStart w:id="96" w:name="_Toc328836752"/>
            <w:bookmarkStart w:id="97" w:name="_Toc328836393"/>
            <w:bookmarkStart w:id="98" w:name="_Toc328836526"/>
            <w:r>
              <w:rPr>
                <w:rFonts w:ascii="仿宋" w:hAnsi="仿宋" w:eastAsia="仿宋"/>
                <w:sz w:val="21"/>
                <w:szCs w:val="21"/>
              </w:rPr>
              <w:t>产品名称</w:t>
            </w:r>
          </w:p>
        </w:tc>
        <w:tc>
          <w:tcPr>
            <w:tcW w:w="2144" w:type="dxa"/>
            <w:tcBorders>
              <w:bottom w:val="single" w:color="auto" w:sz="4" w:space="0"/>
              <w:right w:val="single" w:color="auto" w:sz="4" w:space="0"/>
            </w:tcBorders>
            <w:vAlign w:val="center"/>
          </w:tcPr>
          <w:p>
            <w:pPr>
              <w:spacing w:line="400" w:lineRule="exact"/>
              <w:ind w:leftChars="0" w:right="0" w:rightChars="0" w:firstLine="0" w:firstLineChars="0"/>
              <w:jc w:val="center"/>
              <w:rPr>
                <w:rFonts w:ascii="仿宋" w:hAnsi="仿宋" w:eastAsia="仿宋"/>
                <w:sz w:val="21"/>
                <w:szCs w:val="21"/>
              </w:rPr>
            </w:pPr>
            <w:r>
              <w:rPr>
                <w:rFonts w:hint="eastAsia" w:ascii="仿宋" w:hAnsi="仿宋" w:eastAsia="仿宋"/>
                <w:sz w:val="21"/>
                <w:szCs w:val="21"/>
              </w:rPr>
              <w:t>单位</w:t>
            </w:r>
          </w:p>
        </w:tc>
        <w:tc>
          <w:tcPr>
            <w:tcW w:w="2145" w:type="dxa"/>
            <w:tcBorders>
              <w:bottom w:val="single" w:color="auto" w:sz="4" w:space="0"/>
              <w:right w:val="single" w:color="auto" w:sz="4" w:space="0"/>
            </w:tcBorders>
            <w:vAlign w:val="center"/>
          </w:tcPr>
          <w:p>
            <w:pPr>
              <w:spacing w:line="400" w:lineRule="exact"/>
              <w:ind w:leftChars="0" w:right="0" w:rightChars="0" w:firstLine="0" w:firstLineChars="0"/>
              <w:jc w:val="center"/>
              <w:rPr>
                <w:rFonts w:ascii="仿宋" w:hAnsi="仿宋" w:eastAsia="仿宋"/>
                <w:sz w:val="21"/>
                <w:szCs w:val="21"/>
              </w:rPr>
            </w:pPr>
            <w:r>
              <w:rPr>
                <w:rFonts w:hint="eastAsia" w:ascii="仿宋" w:hAnsi="仿宋" w:eastAsia="仿宋"/>
                <w:sz w:val="21"/>
                <w:szCs w:val="21"/>
              </w:rPr>
              <w:t>数量</w:t>
            </w:r>
          </w:p>
        </w:tc>
        <w:tc>
          <w:tcPr>
            <w:tcW w:w="2145" w:type="dxa"/>
            <w:tcBorders>
              <w:top w:val="single" w:color="000000" w:sz="4" w:space="0"/>
              <w:bottom w:val="single" w:color="auto" w:sz="4" w:space="0"/>
            </w:tcBorders>
            <w:tcMar>
              <w:left w:w="0" w:type="dxa"/>
              <w:right w:w="0" w:type="dxa"/>
            </w:tcMar>
            <w:vAlign w:val="center"/>
          </w:tcPr>
          <w:p>
            <w:pPr>
              <w:spacing w:line="400" w:lineRule="exact"/>
              <w:ind w:leftChars="0" w:right="0" w:rightChars="0" w:firstLine="0" w:firstLineChars="0"/>
              <w:jc w:val="center"/>
              <w:rPr>
                <w:rFonts w:ascii="仿宋" w:hAnsi="仿宋" w:eastAsia="仿宋"/>
                <w:sz w:val="21"/>
                <w:szCs w:val="21"/>
              </w:rPr>
            </w:pPr>
            <w:r>
              <w:rPr>
                <w:rFonts w:hint="eastAsia" w:ascii="仿宋" w:hAnsi="仿宋" w:eastAsia="仿宋"/>
                <w:sz w:val="21"/>
                <w:szCs w:val="21"/>
              </w:rPr>
              <w:t>产品执行标准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144" w:type="dxa"/>
            <w:tcMar>
              <w:left w:w="0" w:type="dxa"/>
              <w:right w:w="0" w:type="dxa"/>
            </w:tcMar>
            <w:vAlign w:val="center"/>
          </w:tcPr>
          <w:p>
            <w:pPr>
              <w:spacing w:line="400" w:lineRule="exact"/>
              <w:ind w:leftChars="0" w:right="0" w:rightChars="0" w:firstLine="0" w:firstLineChars="0"/>
              <w:jc w:val="center"/>
              <w:rPr>
                <w:rFonts w:hint="eastAsia" w:ascii="仿宋" w:hAnsi="仿宋" w:eastAsia="仿宋"/>
                <w:sz w:val="21"/>
                <w:szCs w:val="21"/>
                <w:lang w:eastAsia="zh-CN"/>
              </w:rPr>
            </w:pPr>
            <w:r>
              <w:rPr>
                <w:rFonts w:hint="eastAsia" w:ascii="仿宋" w:hAnsi="仿宋" w:eastAsia="仿宋"/>
                <w:sz w:val="21"/>
                <w:szCs w:val="21"/>
                <w:lang w:eastAsia="zh-CN"/>
              </w:rPr>
              <w:t>氯化锌</w:t>
            </w:r>
          </w:p>
        </w:tc>
        <w:tc>
          <w:tcPr>
            <w:tcW w:w="2144" w:type="dxa"/>
            <w:tcMar>
              <w:left w:w="0" w:type="dxa"/>
              <w:right w:w="0" w:type="dxa"/>
            </w:tcMar>
            <w:vAlign w:val="center"/>
          </w:tcPr>
          <w:p>
            <w:pPr>
              <w:spacing w:line="400" w:lineRule="exact"/>
              <w:ind w:leftChars="0" w:right="0" w:rightChars="0" w:firstLine="0" w:firstLineChars="0"/>
              <w:jc w:val="center"/>
              <w:rPr>
                <w:rFonts w:ascii="仿宋" w:hAnsi="仿宋" w:eastAsia="仿宋"/>
                <w:bCs/>
                <w:sz w:val="21"/>
                <w:szCs w:val="21"/>
              </w:rPr>
            </w:pPr>
            <w:r>
              <w:rPr>
                <w:rFonts w:hint="eastAsia" w:ascii="仿宋" w:hAnsi="仿宋" w:eastAsia="仿宋"/>
                <w:bCs/>
                <w:sz w:val="21"/>
                <w:szCs w:val="21"/>
              </w:rPr>
              <w:t>t/a</w:t>
            </w:r>
          </w:p>
        </w:tc>
        <w:tc>
          <w:tcPr>
            <w:tcW w:w="2145" w:type="dxa"/>
            <w:tcBorders>
              <w:right w:val="single" w:color="000000" w:sz="4" w:space="0"/>
            </w:tcBorders>
            <w:tcMar>
              <w:left w:w="0" w:type="dxa"/>
              <w:right w:w="0" w:type="dxa"/>
            </w:tcMar>
            <w:vAlign w:val="center"/>
          </w:tcPr>
          <w:p>
            <w:pPr>
              <w:spacing w:line="400" w:lineRule="exact"/>
              <w:ind w:left="0" w:leftChars="0" w:right="0" w:rightChars="0" w:firstLine="0" w:firstLineChars="0"/>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3000</w:t>
            </w:r>
          </w:p>
        </w:tc>
        <w:tc>
          <w:tcPr>
            <w:tcW w:w="2145" w:type="dxa"/>
            <w:tcMar>
              <w:left w:w="0" w:type="dxa"/>
              <w:right w:w="0" w:type="dxa"/>
            </w:tcMar>
            <w:vAlign w:val="center"/>
          </w:tcPr>
          <w:p>
            <w:pPr>
              <w:spacing w:line="400" w:lineRule="exact"/>
              <w:ind w:leftChars="0" w:right="0" w:rightChars="0" w:firstLine="0" w:firstLineChars="0"/>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HG/T 2323-2012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144" w:type="dxa"/>
            <w:tcMar>
              <w:left w:w="0" w:type="dxa"/>
              <w:right w:w="0" w:type="dxa"/>
            </w:tcMar>
            <w:vAlign w:val="center"/>
          </w:tcPr>
          <w:p>
            <w:pPr>
              <w:spacing w:line="400" w:lineRule="exact"/>
              <w:ind w:leftChars="0" w:right="0" w:rightChars="0" w:firstLine="0" w:firstLineChars="0"/>
              <w:jc w:val="center"/>
              <w:rPr>
                <w:rFonts w:hint="eastAsia" w:ascii="仿宋" w:hAnsi="仿宋" w:eastAsia="仿宋"/>
                <w:sz w:val="21"/>
                <w:szCs w:val="21"/>
                <w:lang w:eastAsia="zh-CN"/>
              </w:rPr>
            </w:pPr>
            <w:r>
              <w:rPr>
                <w:rFonts w:hint="eastAsia" w:ascii="仿宋" w:hAnsi="仿宋" w:eastAsia="仿宋"/>
                <w:sz w:val="21"/>
                <w:szCs w:val="21"/>
                <w:lang w:eastAsia="zh-CN"/>
              </w:rPr>
              <w:t>氧化锌</w:t>
            </w:r>
          </w:p>
        </w:tc>
        <w:tc>
          <w:tcPr>
            <w:tcW w:w="2144" w:type="dxa"/>
            <w:tcMar>
              <w:left w:w="0" w:type="dxa"/>
              <w:right w:w="0" w:type="dxa"/>
            </w:tcMar>
            <w:vAlign w:val="center"/>
          </w:tcPr>
          <w:p>
            <w:pPr>
              <w:spacing w:line="400" w:lineRule="exact"/>
              <w:ind w:leftChars="0" w:right="0" w:rightChars="0" w:firstLine="0" w:firstLineChars="0"/>
              <w:jc w:val="center"/>
              <w:rPr>
                <w:rFonts w:ascii="仿宋" w:hAnsi="仿宋" w:eastAsia="仿宋"/>
                <w:sz w:val="21"/>
                <w:szCs w:val="21"/>
              </w:rPr>
            </w:pPr>
            <w:r>
              <w:rPr>
                <w:rFonts w:hint="eastAsia" w:ascii="仿宋" w:hAnsi="仿宋" w:eastAsia="仿宋"/>
                <w:bCs/>
                <w:sz w:val="21"/>
                <w:szCs w:val="21"/>
              </w:rPr>
              <w:t>t/a</w:t>
            </w:r>
          </w:p>
        </w:tc>
        <w:tc>
          <w:tcPr>
            <w:tcW w:w="2145" w:type="dxa"/>
            <w:tcBorders>
              <w:right w:val="single" w:color="000000" w:sz="4" w:space="0"/>
            </w:tcBorders>
            <w:tcMar>
              <w:left w:w="0" w:type="dxa"/>
              <w:right w:w="0" w:type="dxa"/>
            </w:tcMar>
            <w:vAlign w:val="center"/>
          </w:tcPr>
          <w:p>
            <w:pPr>
              <w:spacing w:line="400" w:lineRule="exact"/>
              <w:ind w:left="0" w:leftChars="0" w:right="0" w:rightChars="0" w:firstLine="0" w:firstLineChars="0"/>
              <w:jc w:val="center"/>
              <w:rPr>
                <w:rFonts w:ascii="仿宋" w:hAnsi="仿宋" w:eastAsia="仿宋"/>
                <w:sz w:val="21"/>
                <w:szCs w:val="21"/>
                <w:highlight w:val="none"/>
              </w:rPr>
            </w:pPr>
            <w:r>
              <w:rPr>
                <w:rFonts w:hint="eastAsia" w:ascii="仿宋" w:hAnsi="仿宋" w:eastAsia="仿宋"/>
                <w:sz w:val="21"/>
                <w:szCs w:val="21"/>
                <w:highlight w:val="none"/>
              </w:rPr>
              <w:t>3000</w:t>
            </w:r>
          </w:p>
        </w:tc>
        <w:tc>
          <w:tcPr>
            <w:tcW w:w="2145" w:type="dxa"/>
            <w:tcMar>
              <w:left w:w="0" w:type="dxa"/>
              <w:right w:w="0" w:type="dxa"/>
            </w:tcMar>
            <w:vAlign w:val="center"/>
          </w:tcPr>
          <w:p>
            <w:pPr>
              <w:spacing w:line="400" w:lineRule="exact"/>
              <w:ind w:leftChars="0" w:right="0" w:rightChars="0" w:firstLine="0" w:firstLineChars="0"/>
              <w:jc w:val="center"/>
              <w:rPr>
                <w:rFonts w:hint="eastAsia" w:ascii="仿宋" w:hAnsi="仿宋" w:eastAsia="仿宋"/>
                <w:sz w:val="21"/>
                <w:szCs w:val="21"/>
                <w:highlight w:val="none"/>
                <w:lang w:val="en-US" w:eastAsia="zh-CN"/>
              </w:rPr>
            </w:pPr>
            <w:r>
              <w:rPr>
                <w:rFonts w:hint="eastAsia" w:ascii="仿宋" w:hAnsi="仿宋" w:eastAsia="仿宋"/>
                <w:sz w:val="21"/>
                <w:szCs w:val="21"/>
                <w:highlight w:val="none"/>
                <w:lang w:val="en-US" w:eastAsia="zh-CN"/>
              </w:rPr>
              <w:t>HG/T 2572-2012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144" w:type="dxa"/>
            <w:tcMar>
              <w:left w:w="0" w:type="dxa"/>
              <w:right w:w="0" w:type="dxa"/>
            </w:tcMar>
            <w:vAlign w:val="center"/>
          </w:tcPr>
          <w:p>
            <w:pPr>
              <w:spacing w:line="400" w:lineRule="exact"/>
              <w:ind w:leftChars="0" w:right="0" w:rightChars="0" w:firstLine="0" w:firstLineChars="0"/>
              <w:jc w:val="center"/>
              <w:rPr>
                <w:rFonts w:hint="eastAsia" w:ascii="仿宋" w:hAnsi="仿宋" w:eastAsia="仿宋"/>
                <w:sz w:val="21"/>
                <w:szCs w:val="21"/>
                <w:lang w:eastAsia="zh-CN"/>
              </w:rPr>
            </w:pPr>
            <w:r>
              <w:rPr>
                <w:rFonts w:hint="eastAsia" w:ascii="仿宋" w:hAnsi="仿宋" w:eastAsia="仿宋"/>
                <w:sz w:val="21"/>
                <w:szCs w:val="21"/>
                <w:lang w:eastAsia="zh-CN"/>
              </w:rPr>
              <w:t>硫酸铵</w:t>
            </w:r>
          </w:p>
        </w:tc>
        <w:tc>
          <w:tcPr>
            <w:tcW w:w="2144" w:type="dxa"/>
            <w:tcMar>
              <w:left w:w="0" w:type="dxa"/>
              <w:right w:w="0" w:type="dxa"/>
            </w:tcMar>
            <w:vAlign w:val="center"/>
          </w:tcPr>
          <w:p>
            <w:pPr>
              <w:spacing w:line="400" w:lineRule="exact"/>
              <w:ind w:leftChars="0" w:right="0" w:rightChars="0" w:firstLine="0" w:firstLineChars="0"/>
              <w:jc w:val="center"/>
              <w:rPr>
                <w:rFonts w:ascii="仿宋" w:hAnsi="仿宋" w:eastAsia="仿宋"/>
                <w:sz w:val="21"/>
                <w:szCs w:val="21"/>
              </w:rPr>
            </w:pPr>
            <w:r>
              <w:rPr>
                <w:rFonts w:hint="eastAsia" w:ascii="仿宋" w:hAnsi="仿宋" w:eastAsia="仿宋"/>
                <w:bCs/>
                <w:sz w:val="21"/>
                <w:szCs w:val="21"/>
              </w:rPr>
              <w:t>t/a</w:t>
            </w:r>
          </w:p>
        </w:tc>
        <w:tc>
          <w:tcPr>
            <w:tcW w:w="2145" w:type="dxa"/>
            <w:tcBorders>
              <w:right w:val="single" w:color="000000" w:sz="4" w:space="0"/>
            </w:tcBorders>
            <w:tcMar>
              <w:left w:w="0" w:type="dxa"/>
              <w:right w:w="0" w:type="dxa"/>
            </w:tcMar>
            <w:vAlign w:val="center"/>
          </w:tcPr>
          <w:p>
            <w:pPr>
              <w:spacing w:line="400" w:lineRule="exact"/>
              <w:ind w:left="0" w:leftChars="0" w:right="0" w:rightChars="0" w:firstLine="0" w:firstLineChars="0"/>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4150</w:t>
            </w:r>
          </w:p>
        </w:tc>
        <w:tc>
          <w:tcPr>
            <w:tcW w:w="2145" w:type="dxa"/>
            <w:tcMar>
              <w:left w:w="0" w:type="dxa"/>
              <w:right w:w="0" w:type="dxa"/>
            </w:tcMar>
            <w:vAlign w:val="center"/>
          </w:tcPr>
          <w:p>
            <w:pPr>
              <w:spacing w:line="400" w:lineRule="exact"/>
              <w:ind w:leftChars="0" w:right="0" w:rightChars="0" w:firstLine="0" w:firstLineChars="0"/>
              <w:jc w:val="center"/>
              <w:rPr>
                <w:rFonts w:ascii="仿宋" w:hAnsi="仿宋" w:eastAsia="仿宋"/>
                <w:sz w:val="21"/>
                <w:szCs w:val="21"/>
              </w:rPr>
            </w:pPr>
          </w:p>
        </w:tc>
      </w:tr>
    </w:tbl>
    <w:p>
      <w:pPr>
        <w:pStyle w:val="132"/>
        <w:rPr>
          <w:rFonts w:ascii="仿宋" w:hAnsi="仿宋" w:eastAsia="仿宋"/>
        </w:rPr>
      </w:pPr>
      <w:bookmarkStart w:id="99" w:name="_Toc22978"/>
      <w:r>
        <w:rPr>
          <w:rFonts w:ascii="仿宋" w:hAnsi="仿宋" w:eastAsia="仿宋"/>
        </w:rPr>
        <w:t>2.2.2原辅材料及能源使用情况</w:t>
      </w:r>
      <w:bookmarkEnd w:id="95"/>
      <w:bookmarkEnd w:id="96"/>
      <w:bookmarkEnd w:id="97"/>
      <w:bookmarkEnd w:id="98"/>
      <w:bookmarkEnd w:id="99"/>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w:t>
      </w:r>
      <w:r>
        <w:rPr>
          <w:rFonts w:ascii="仿宋" w:hAnsi="仿宋" w:eastAsia="仿宋"/>
        </w:rPr>
        <w:t>主要原辅材料</w:t>
      </w:r>
      <w:r>
        <w:rPr>
          <w:rFonts w:hint="eastAsia" w:ascii="仿宋" w:hAnsi="仿宋" w:eastAsia="仿宋"/>
        </w:rPr>
        <w:t>及能源</w:t>
      </w:r>
      <w:r>
        <w:rPr>
          <w:rFonts w:ascii="仿宋" w:hAnsi="仿宋" w:eastAsia="仿宋"/>
        </w:rPr>
        <w:t>使用情况见下表2</w:t>
      </w:r>
      <w:r>
        <w:rPr>
          <w:rFonts w:hint="eastAsia" w:ascii="仿宋" w:hAnsi="仿宋" w:eastAsia="仿宋"/>
        </w:rPr>
        <w:t>.2</w:t>
      </w:r>
      <w:r>
        <w:rPr>
          <w:rFonts w:ascii="仿宋" w:hAnsi="仿宋" w:eastAsia="仿宋"/>
        </w:rPr>
        <w:t>-</w:t>
      </w:r>
      <w:r>
        <w:rPr>
          <w:rFonts w:hint="eastAsia" w:ascii="仿宋" w:hAnsi="仿宋" w:eastAsia="仿宋"/>
        </w:rPr>
        <w:t>2和表2.2-3</w:t>
      </w:r>
      <w:r>
        <w:rPr>
          <w:rFonts w:ascii="仿宋" w:hAnsi="仿宋" w:eastAsia="仿宋"/>
        </w:rPr>
        <w:t>。</w:t>
      </w:r>
    </w:p>
    <w:p>
      <w:pPr>
        <w:spacing w:before="240" w:beforeLines="100" w:after="240" w:afterLines="100"/>
        <w:rPr>
          <w:rFonts w:hint="eastAsia"/>
          <w:color w:val="000000"/>
          <w:sz w:val="24"/>
          <w:szCs w:val="24"/>
        </w:rPr>
      </w:pPr>
      <w:r>
        <w:rPr>
          <w:rFonts w:hint="eastAsia"/>
          <w:color w:val="000000"/>
          <w:sz w:val="24"/>
          <w:szCs w:val="24"/>
        </w:rPr>
        <w:t>（1）纳米氧化锌生产</w:t>
      </w:r>
      <w:r>
        <w:rPr>
          <w:color w:val="000000"/>
          <w:sz w:val="24"/>
          <w:szCs w:val="24"/>
        </w:rPr>
        <w:t>主要原辅材料</w:t>
      </w:r>
      <w:r>
        <w:rPr>
          <w:rFonts w:hint="eastAsia"/>
          <w:color w:val="000000"/>
          <w:sz w:val="24"/>
          <w:szCs w:val="24"/>
          <w:lang w:eastAsia="zh-CN"/>
        </w:rPr>
        <w:t>表</w:t>
      </w:r>
      <w:r>
        <w:rPr>
          <w:rFonts w:hint="eastAsia"/>
          <w:color w:val="000000"/>
          <w:sz w:val="24"/>
          <w:szCs w:val="24"/>
          <w:lang w:val="en-US" w:eastAsia="zh-CN"/>
        </w:rPr>
        <w:t>2.2-2</w:t>
      </w:r>
      <w:r>
        <w:rPr>
          <w:color w:val="000000"/>
          <w:sz w:val="24"/>
          <w:szCs w:val="24"/>
        </w:rPr>
        <w:t>。</w:t>
      </w:r>
    </w:p>
    <w:p>
      <w:pPr>
        <w:spacing w:before="240" w:beforeLines="100" w:after="120" w:afterLines="50"/>
        <w:jc w:val="center"/>
        <w:rPr>
          <w:color w:val="000000"/>
          <w:sz w:val="24"/>
          <w:szCs w:val="24"/>
        </w:rPr>
      </w:pPr>
      <w:r>
        <w:rPr>
          <w:color w:val="000000"/>
          <w:sz w:val="24"/>
          <w:szCs w:val="24"/>
        </w:rPr>
        <w:t>表</w:t>
      </w:r>
      <w:r>
        <w:rPr>
          <w:rFonts w:hint="eastAsia"/>
          <w:color w:val="000000"/>
          <w:sz w:val="24"/>
          <w:szCs w:val="24"/>
          <w:lang w:val="en-US" w:eastAsia="zh-CN"/>
        </w:rPr>
        <w:t>2</w:t>
      </w:r>
      <w:r>
        <w:rPr>
          <w:color w:val="000000"/>
          <w:sz w:val="24"/>
          <w:szCs w:val="24"/>
        </w:rPr>
        <w:t>.</w:t>
      </w:r>
      <w:r>
        <w:rPr>
          <w:rFonts w:hint="eastAsia"/>
          <w:color w:val="000000"/>
          <w:sz w:val="24"/>
          <w:szCs w:val="24"/>
        </w:rPr>
        <w:t>2</w:t>
      </w:r>
      <w:r>
        <w:rPr>
          <w:rFonts w:hint="eastAsia"/>
          <w:color w:val="000000"/>
          <w:sz w:val="24"/>
          <w:szCs w:val="24"/>
          <w:lang w:val="en-US" w:eastAsia="zh-CN"/>
        </w:rPr>
        <w:t>-2</w:t>
      </w:r>
      <w:r>
        <w:rPr>
          <w:color w:val="000000"/>
          <w:sz w:val="24"/>
          <w:szCs w:val="24"/>
        </w:rPr>
        <w:tab/>
      </w:r>
      <w:r>
        <w:rPr>
          <w:color w:val="000000"/>
          <w:sz w:val="24"/>
          <w:szCs w:val="24"/>
        </w:rPr>
        <w:t>主要原辅材料、燃料来源及消耗表</w:t>
      </w:r>
    </w:p>
    <w:tbl>
      <w:tblPr>
        <w:tblStyle w:val="39"/>
        <w:tblW w:w="9174"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427"/>
        <w:gridCol w:w="1890"/>
        <w:gridCol w:w="1705"/>
        <w:gridCol w:w="2114"/>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38" w:type="dxa"/>
            <w:tcBorders>
              <w:top w:val="single" w:color="000000" w:sz="12" w:space="0"/>
              <w:bottom w:val="double" w:color="auto" w:sz="4" w:space="0"/>
              <w:right w:val="single" w:color="000000" w:sz="6" w:space="0"/>
            </w:tcBorders>
            <w:shd w:val="clear" w:color="auto" w:fill="auto"/>
            <w:vAlign w:val="center"/>
          </w:tcPr>
          <w:p>
            <w:pPr>
              <w:jc w:val="center"/>
              <w:rPr>
                <w:iCs/>
                <w:color w:val="000000"/>
                <w:sz w:val="21"/>
                <w:szCs w:val="21"/>
              </w:rPr>
            </w:pPr>
            <w:r>
              <w:rPr>
                <w:iCs/>
                <w:color w:val="000000"/>
                <w:sz w:val="21"/>
                <w:szCs w:val="21"/>
              </w:rPr>
              <w:t>序号</w:t>
            </w:r>
          </w:p>
        </w:tc>
        <w:tc>
          <w:tcPr>
            <w:tcW w:w="2427" w:type="dxa"/>
            <w:tcBorders>
              <w:top w:val="single" w:color="000000" w:sz="12" w:space="0"/>
              <w:bottom w:val="double" w:color="auto" w:sz="4" w:space="0"/>
            </w:tcBorders>
            <w:shd w:val="clear" w:color="auto" w:fill="auto"/>
            <w:vAlign w:val="center"/>
          </w:tcPr>
          <w:p>
            <w:pPr>
              <w:jc w:val="center"/>
              <w:rPr>
                <w:iCs/>
                <w:color w:val="000000"/>
                <w:sz w:val="21"/>
                <w:szCs w:val="21"/>
              </w:rPr>
            </w:pPr>
            <w:r>
              <w:rPr>
                <w:iCs/>
                <w:color w:val="000000"/>
                <w:sz w:val="21"/>
                <w:szCs w:val="21"/>
              </w:rPr>
              <w:t>原料名称</w:t>
            </w:r>
          </w:p>
        </w:tc>
        <w:tc>
          <w:tcPr>
            <w:tcW w:w="1890" w:type="dxa"/>
            <w:tcBorders>
              <w:top w:val="single" w:color="000000" w:sz="12" w:space="0"/>
              <w:bottom w:val="double" w:color="auto" w:sz="4" w:space="0"/>
            </w:tcBorders>
            <w:shd w:val="clear" w:color="auto" w:fill="auto"/>
            <w:vAlign w:val="center"/>
          </w:tcPr>
          <w:p>
            <w:pPr>
              <w:jc w:val="center"/>
              <w:rPr>
                <w:iCs/>
                <w:color w:val="000000"/>
                <w:sz w:val="21"/>
                <w:szCs w:val="21"/>
              </w:rPr>
            </w:pPr>
            <w:r>
              <w:rPr>
                <w:iCs/>
                <w:color w:val="000000"/>
                <w:sz w:val="21"/>
                <w:szCs w:val="21"/>
              </w:rPr>
              <w:t>规格</w:t>
            </w:r>
          </w:p>
        </w:tc>
        <w:tc>
          <w:tcPr>
            <w:tcW w:w="1705" w:type="dxa"/>
            <w:tcBorders>
              <w:top w:val="single" w:color="000000" w:sz="12" w:space="0"/>
              <w:bottom w:val="double" w:color="auto" w:sz="4" w:space="0"/>
            </w:tcBorders>
            <w:shd w:val="clear" w:color="auto" w:fill="auto"/>
            <w:vAlign w:val="center"/>
          </w:tcPr>
          <w:p>
            <w:pPr>
              <w:jc w:val="center"/>
              <w:rPr>
                <w:rFonts w:hint="eastAsia"/>
                <w:iCs/>
                <w:color w:val="000000"/>
                <w:sz w:val="21"/>
                <w:szCs w:val="21"/>
              </w:rPr>
            </w:pPr>
            <w:r>
              <w:rPr>
                <w:rFonts w:hint="eastAsia"/>
                <w:iCs/>
                <w:color w:val="000000"/>
                <w:sz w:val="21"/>
                <w:szCs w:val="21"/>
              </w:rPr>
              <w:t>消耗定量(t/a)</w:t>
            </w:r>
          </w:p>
        </w:tc>
        <w:tc>
          <w:tcPr>
            <w:tcW w:w="2114" w:type="dxa"/>
            <w:tcBorders>
              <w:top w:val="single" w:color="000000" w:sz="12" w:space="0"/>
              <w:bottom w:val="double" w:color="auto" w:sz="4" w:space="0"/>
            </w:tcBorders>
            <w:shd w:val="clear" w:color="auto" w:fill="auto"/>
            <w:vAlign w:val="center"/>
          </w:tcPr>
          <w:p>
            <w:pPr>
              <w:jc w:val="center"/>
              <w:rPr>
                <w:rFonts w:hint="eastAsia"/>
                <w:b/>
                <w:bCs/>
                <w:color w:val="000000"/>
                <w:sz w:val="21"/>
                <w:szCs w:val="21"/>
              </w:rPr>
            </w:pPr>
            <w:r>
              <w:rPr>
                <w:rFonts w:hint="eastAsia"/>
                <w:b/>
                <w:bCs/>
                <w:color w:val="000000"/>
                <w:sz w:val="21"/>
                <w:szCs w:val="21"/>
              </w:rPr>
              <w:t>备注</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38" w:type="dxa"/>
            <w:tcBorders>
              <w:top w:val="single" w:color="auto" w:sz="4" w:space="0"/>
              <w:right w:val="single" w:color="000000" w:sz="6" w:space="0"/>
            </w:tcBorders>
            <w:shd w:val="clear" w:color="auto" w:fill="auto"/>
            <w:vAlign w:val="center"/>
          </w:tcPr>
          <w:p>
            <w:pPr>
              <w:jc w:val="center"/>
              <w:rPr>
                <w:color w:val="000000"/>
                <w:sz w:val="21"/>
                <w:szCs w:val="21"/>
              </w:rPr>
            </w:pPr>
            <w:r>
              <w:rPr>
                <w:color w:val="000000"/>
                <w:sz w:val="21"/>
                <w:szCs w:val="21"/>
              </w:rPr>
              <w:t>1</w:t>
            </w:r>
          </w:p>
        </w:tc>
        <w:tc>
          <w:tcPr>
            <w:tcW w:w="2427" w:type="dxa"/>
            <w:tcBorders>
              <w:top w:val="single" w:color="auto" w:sz="4" w:space="0"/>
            </w:tcBorders>
            <w:shd w:val="clear" w:color="auto" w:fill="auto"/>
            <w:vAlign w:val="center"/>
          </w:tcPr>
          <w:p>
            <w:pPr>
              <w:jc w:val="center"/>
              <w:rPr>
                <w:rFonts w:hint="eastAsia"/>
                <w:color w:val="000000"/>
                <w:sz w:val="21"/>
                <w:szCs w:val="21"/>
              </w:rPr>
            </w:pPr>
            <w:r>
              <w:rPr>
                <w:rFonts w:hint="eastAsia"/>
                <w:color w:val="000000"/>
                <w:sz w:val="21"/>
                <w:szCs w:val="21"/>
              </w:rPr>
              <w:t>次氧化锌</w:t>
            </w:r>
          </w:p>
        </w:tc>
        <w:tc>
          <w:tcPr>
            <w:tcW w:w="1890" w:type="dxa"/>
            <w:tcBorders>
              <w:top w:val="single" w:color="auto" w:sz="4" w:space="0"/>
            </w:tcBorders>
            <w:shd w:val="clear" w:color="auto" w:fill="auto"/>
            <w:vAlign w:val="center"/>
          </w:tcPr>
          <w:p>
            <w:pPr>
              <w:jc w:val="center"/>
              <w:rPr>
                <w:rFonts w:hint="eastAsia"/>
                <w:color w:val="000000"/>
                <w:sz w:val="21"/>
                <w:szCs w:val="21"/>
              </w:rPr>
            </w:pPr>
            <w:r>
              <w:rPr>
                <w:rFonts w:hint="eastAsia"/>
                <w:color w:val="000000"/>
                <w:sz w:val="21"/>
                <w:szCs w:val="21"/>
              </w:rPr>
              <w:t>含ZnO60%</w:t>
            </w:r>
          </w:p>
        </w:tc>
        <w:tc>
          <w:tcPr>
            <w:tcW w:w="1705" w:type="dxa"/>
            <w:tcBorders>
              <w:top w:val="single" w:color="auto" w:sz="4" w:space="0"/>
            </w:tcBorders>
            <w:shd w:val="clear" w:color="auto" w:fill="auto"/>
            <w:vAlign w:val="center"/>
          </w:tcPr>
          <w:p>
            <w:pPr>
              <w:ind w:right="300" w:rightChars="107"/>
              <w:jc w:val="center"/>
              <w:rPr>
                <w:rFonts w:hint="eastAsia"/>
                <w:color w:val="000000"/>
                <w:sz w:val="21"/>
                <w:szCs w:val="21"/>
              </w:rPr>
            </w:pPr>
            <w:r>
              <w:rPr>
                <w:rFonts w:hint="eastAsia"/>
                <w:color w:val="000000"/>
                <w:sz w:val="21"/>
                <w:szCs w:val="21"/>
              </w:rPr>
              <w:t>5000</w:t>
            </w:r>
          </w:p>
        </w:tc>
        <w:tc>
          <w:tcPr>
            <w:tcW w:w="2114" w:type="dxa"/>
            <w:tcBorders>
              <w:top w:val="single" w:color="auto" w:sz="4" w:space="0"/>
            </w:tcBorders>
            <w:shd w:val="clear" w:color="auto" w:fill="auto"/>
            <w:vAlign w:val="center"/>
          </w:tcPr>
          <w:p>
            <w:pPr>
              <w:jc w:val="center"/>
              <w:rPr>
                <w:rFonts w:hint="eastAsia"/>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38" w:type="dxa"/>
            <w:tcBorders>
              <w:right w:val="single" w:color="000000" w:sz="6" w:space="0"/>
            </w:tcBorders>
            <w:shd w:val="clear" w:color="auto" w:fill="auto"/>
            <w:vAlign w:val="center"/>
          </w:tcPr>
          <w:p>
            <w:pPr>
              <w:jc w:val="center"/>
              <w:rPr>
                <w:color w:val="000000"/>
                <w:sz w:val="21"/>
                <w:szCs w:val="21"/>
              </w:rPr>
            </w:pPr>
            <w:r>
              <w:rPr>
                <w:color w:val="000000"/>
                <w:sz w:val="21"/>
                <w:szCs w:val="21"/>
              </w:rPr>
              <w:t>2</w:t>
            </w:r>
          </w:p>
        </w:tc>
        <w:tc>
          <w:tcPr>
            <w:tcW w:w="2427" w:type="dxa"/>
            <w:shd w:val="clear" w:color="auto" w:fill="auto"/>
            <w:vAlign w:val="center"/>
          </w:tcPr>
          <w:p>
            <w:pPr>
              <w:jc w:val="center"/>
              <w:rPr>
                <w:rFonts w:hint="eastAsia"/>
                <w:color w:val="000000"/>
                <w:sz w:val="21"/>
                <w:szCs w:val="21"/>
              </w:rPr>
            </w:pPr>
            <w:r>
              <w:rPr>
                <w:rFonts w:hint="eastAsia"/>
                <w:color w:val="000000"/>
                <w:sz w:val="21"/>
                <w:szCs w:val="21"/>
              </w:rPr>
              <w:t>硫酸</w:t>
            </w:r>
          </w:p>
        </w:tc>
        <w:tc>
          <w:tcPr>
            <w:tcW w:w="1890" w:type="dxa"/>
            <w:shd w:val="clear" w:color="auto" w:fill="auto"/>
            <w:vAlign w:val="center"/>
          </w:tcPr>
          <w:p>
            <w:pPr>
              <w:jc w:val="center"/>
              <w:rPr>
                <w:rFonts w:hint="eastAsia"/>
                <w:color w:val="000000"/>
                <w:sz w:val="21"/>
                <w:szCs w:val="21"/>
              </w:rPr>
            </w:pPr>
            <w:r>
              <w:rPr>
                <w:rFonts w:hint="eastAsia"/>
                <w:color w:val="000000"/>
                <w:sz w:val="21"/>
                <w:szCs w:val="21"/>
              </w:rPr>
              <w:t>含H</w:t>
            </w:r>
            <w:r>
              <w:rPr>
                <w:rFonts w:hint="eastAsia"/>
                <w:color w:val="000000"/>
                <w:sz w:val="21"/>
                <w:szCs w:val="21"/>
                <w:vertAlign w:val="subscript"/>
              </w:rPr>
              <w:t>2</w:t>
            </w:r>
            <w:r>
              <w:rPr>
                <w:rFonts w:hint="eastAsia"/>
                <w:color w:val="000000"/>
                <w:sz w:val="21"/>
                <w:szCs w:val="21"/>
              </w:rPr>
              <w:t>SO</w:t>
            </w:r>
            <w:r>
              <w:rPr>
                <w:rFonts w:hint="eastAsia"/>
                <w:color w:val="000000"/>
                <w:sz w:val="21"/>
                <w:szCs w:val="21"/>
                <w:vertAlign w:val="subscript"/>
              </w:rPr>
              <w:t>4</w:t>
            </w:r>
            <w:r>
              <w:rPr>
                <w:rFonts w:hint="eastAsia"/>
                <w:color w:val="000000"/>
                <w:sz w:val="21"/>
                <w:szCs w:val="21"/>
              </w:rPr>
              <w:t>98%</w:t>
            </w:r>
          </w:p>
        </w:tc>
        <w:tc>
          <w:tcPr>
            <w:tcW w:w="1705" w:type="dxa"/>
            <w:shd w:val="clear" w:color="auto" w:fill="auto"/>
            <w:vAlign w:val="center"/>
          </w:tcPr>
          <w:p>
            <w:pPr>
              <w:ind w:right="300" w:rightChars="107"/>
              <w:jc w:val="center"/>
              <w:rPr>
                <w:rFonts w:hint="eastAsia"/>
                <w:color w:val="000000"/>
                <w:sz w:val="21"/>
                <w:szCs w:val="21"/>
              </w:rPr>
            </w:pPr>
            <w:r>
              <w:rPr>
                <w:rFonts w:hint="eastAsia"/>
                <w:color w:val="000000"/>
                <w:sz w:val="21"/>
                <w:szCs w:val="21"/>
              </w:rPr>
              <w:t>4000</w:t>
            </w:r>
          </w:p>
        </w:tc>
        <w:tc>
          <w:tcPr>
            <w:tcW w:w="2114" w:type="dxa"/>
            <w:shd w:val="clear" w:color="auto" w:fill="auto"/>
            <w:vAlign w:val="center"/>
          </w:tcPr>
          <w:p>
            <w:pPr>
              <w:jc w:val="center"/>
              <w:rPr>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38" w:type="dxa"/>
            <w:tcBorders>
              <w:right w:val="single" w:color="000000" w:sz="6" w:space="0"/>
            </w:tcBorders>
            <w:shd w:val="clear" w:color="auto" w:fill="auto"/>
            <w:vAlign w:val="center"/>
          </w:tcPr>
          <w:p>
            <w:pPr>
              <w:jc w:val="center"/>
              <w:rPr>
                <w:color w:val="000000"/>
                <w:sz w:val="21"/>
                <w:szCs w:val="21"/>
              </w:rPr>
            </w:pPr>
            <w:r>
              <w:rPr>
                <w:color w:val="000000"/>
                <w:sz w:val="21"/>
                <w:szCs w:val="21"/>
              </w:rPr>
              <w:t>3</w:t>
            </w:r>
          </w:p>
        </w:tc>
        <w:tc>
          <w:tcPr>
            <w:tcW w:w="2427" w:type="dxa"/>
            <w:shd w:val="clear" w:color="auto" w:fill="auto"/>
            <w:vAlign w:val="center"/>
          </w:tcPr>
          <w:p>
            <w:pPr>
              <w:jc w:val="center"/>
              <w:rPr>
                <w:color w:val="000000"/>
                <w:sz w:val="21"/>
                <w:szCs w:val="21"/>
              </w:rPr>
            </w:pPr>
            <w:r>
              <w:rPr>
                <w:rFonts w:hint="eastAsia"/>
                <w:color w:val="000000"/>
                <w:sz w:val="21"/>
                <w:szCs w:val="21"/>
              </w:rPr>
              <w:t>碳酸氢铵</w:t>
            </w:r>
          </w:p>
        </w:tc>
        <w:tc>
          <w:tcPr>
            <w:tcW w:w="1890" w:type="dxa"/>
            <w:shd w:val="clear" w:color="auto" w:fill="auto"/>
            <w:vAlign w:val="center"/>
          </w:tcPr>
          <w:p>
            <w:pPr>
              <w:jc w:val="center"/>
              <w:rPr>
                <w:rFonts w:hint="eastAsia"/>
                <w:color w:val="000000"/>
                <w:sz w:val="21"/>
                <w:szCs w:val="21"/>
              </w:rPr>
            </w:pPr>
            <w:r>
              <w:rPr>
                <w:rFonts w:hint="eastAsia"/>
                <w:color w:val="000000"/>
                <w:sz w:val="21"/>
                <w:szCs w:val="21"/>
              </w:rPr>
              <w:t>含N17.1%</w:t>
            </w:r>
          </w:p>
        </w:tc>
        <w:tc>
          <w:tcPr>
            <w:tcW w:w="1705" w:type="dxa"/>
            <w:shd w:val="clear" w:color="auto" w:fill="auto"/>
            <w:vAlign w:val="center"/>
          </w:tcPr>
          <w:p>
            <w:pPr>
              <w:ind w:right="300" w:rightChars="107"/>
              <w:jc w:val="center"/>
              <w:rPr>
                <w:rFonts w:hint="eastAsia"/>
                <w:color w:val="000000"/>
                <w:sz w:val="21"/>
                <w:szCs w:val="21"/>
              </w:rPr>
            </w:pPr>
            <w:r>
              <w:rPr>
                <w:rFonts w:hint="eastAsia"/>
                <w:color w:val="000000"/>
                <w:sz w:val="21"/>
                <w:szCs w:val="21"/>
              </w:rPr>
              <w:t>1500</w:t>
            </w:r>
          </w:p>
        </w:tc>
        <w:tc>
          <w:tcPr>
            <w:tcW w:w="2114" w:type="dxa"/>
            <w:shd w:val="clear" w:color="auto" w:fill="auto"/>
            <w:vAlign w:val="center"/>
          </w:tcPr>
          <w:p>
            <w:pPr>
              <w:jc w:val="center"/>
              <w:rPr>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38" w:type="dxa"/>
            <w:tcBorders>
              <w:right w:val="single" w:color="000000" w:sz="6" w:space="0"/>
            </w:tcBorders>
            <w:shd w:val="clear" w:color="auto" w:fill="auto"/>
            <w:vAlign w:val="center"/>
          </w:tcPr>
          <w:p>
            <w:pPr>
              <w:jc w:val="center"/>
              <w:rPr>
                <w:rFonts w:hint="eastAsia"/>
                <w:color w:val="000000"/>
                <w:sz w:val="21"/>
                <w:szCs w:val="21"/>
              </w:rPr>
            </w:pPr>
            <w:r>
              <w:rPr>
                <w:rFonts w:hint="eastAsia"/>
                <w:color w:val="000000"/>
                <w:sz w:val="21"/>
                <w:szCs w:val="21"/>
              </w:rPr>
              <w:t>4</w:t>
            </w:r>
          </w:p>
        </w:tc>
        <w:tc>
          <w:tcPr>
            <w:tcW w:w="2427" w:type="dxa"/>
            <w:shd w:val="clear" w:color="auto" w:fill="auto"/>
            <w:vAlign w:val="center"/>
          </w:tcPr>
          <w:p>
            <w:pPr>
              <w:jc w:val="center"/>
              <w:rPr>
                <w:rFonts w:hint="eastAsia"/>
                <w:color w:val="000000"/>
                <w:sz w:val="21"/>
                <w:szCs w:val="21"/>
              </w:rPr>
            </w:pPr>
            <w:r>
              <w:rPr>
                <w:rFonts w:hint="eastAsia"/>
                <w:color w:val="000000"/>
                <w:sz w:val="21"/>
                <w:szCs w:val="21"/>
              </w:rPr>
              <w:t>锌粉</w:t>
            </w:r>
          </w:p>
        </w:tc>
        <w:tc>
          <w:tcPr>
            <w:tcW w:w="1890" w:type="dxa"/>
            <w:shd w:val="clear" w:color="auto" w:fill="auto"/>
            <w:vAlign w:val="center"/>
          </w:tcPr>
          <w:p>
            <w:pPr>
              <w:jc w:val="center"/>
              <w:rPr>
                <w:rFonts w:hint="eastAsia"/>
                <w:color w:val="000000"/>
                <w:sz w:val="21"/>
                <w:szCs w:val="21"/>
              </w:rPr>
            </w:pPr>
          </w:p>
        </w:tc>
        <w:tc>
          <w:tcPr>
            <w:tcW w:w="1705" w:type="dxa"/>
            <w:shd w:val="clear" w:color="auto" w:fill="auto"/>
            <w:vAlign w:val="center"/>
          </w:tcPr>
          <w:p>
            <w:pPr>
              <w:ind w:right="300" w:rightChars="107"/>
              <w:jc w:val="center"/>
              <w:rPr>
                <w:rFonts w:hint="eastAsia"/>
                <w:color w:val="000000"/>
                <w:sz w:val="21"/>
                <w:szCs w:val="21"/>
              </w:rPr>
            </w:pPr>
            <w:r>
              <w:rPr>
                <w:rFonts w:hint="eastAsia"/>
                <w:color w:val="000000"/>
                <w:sz w:val="21"/>
                <w:szCs w:val="21"/>
              </w:rPr>
              <w:t>6</w:t>
            </w:r>
          </w:p>
        </w:tc>
        <w:tc>
          <w:tcPr>
            <w:tcW w:w="2114" w:type="dxa"/>
            <w:shd w:val="clear" w:color="auto" w:fill="auto"/>
            <w:vAlign w:val="center"/>
          </w:tcPr>
          <w:p>
            <w:pPr>
              <w:jc w:val="center"/>
              <w:rPr>
                <w:rFonts w:hint="eastAsia"/>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PrEx>
        <w:trPr>
          <w:trHeight w:val="284" w:hRule="atLeast"/>
        </w:trPr>
        <w:tc>
          <w:tcPr>
            <w:tcW w:w="1038" w:type="dxa"/>
            <w:tcBorders>
              <w:top w:val="single" w:color="000000" w:sz="6" w:space="0"/>
              <w:bottom w:val="single" w:color="auto" w:sz="12" w:space="0"/>
              <w:right w:val="single" w:color="000000" w:sz="6" w:space="0"/>
            </w:tcBorders>
            <w:shd w:val="clear" w:color="auto" w:fill="auto"/>
            <w:vAlign w:val="center"/>
          </w:tcPr>
          <w:p>
            <w:pPr>
              <w:jc w:val="center"/>
              <w:rPr>
                <w:rFonts w:hint="eastAsia"/>
                <w:b/>
                <w:bCs/>
                <w:color w:val="000000"/>
                <w:sz w:val="21"/>
                <w:szCs w:val="21"/>
              </w:rPr>
            </w:pPr>
            <w:r>
              <w:rPr>
                <w:rFonts w:hint="eastAsia"/>
                <w:b/>
                <w:bCs/>
                <w:color w:val="000000"/>
                <w:sz w:val="21"/>
                <w:szCs w:val="21"/>
              </w:rPr>
              <w:t>5</w:t>
            </w:r>
          </w:p>
        </w:tc>
        <w:tc>
          <w:tcPr>
            <w:tcW w:w="2427" w:type="dxa"/>
            <w:tcBorders>
              <w:top w:val="single" w:color="000000" w:sz="6" w:space="0"/>
              <w:bottom w:val="single" w:color="auto" w:sz="12" w:space="0"/>
            </w:tcBorders>
            <w:shd w:val="clear" w:color="auto" w:fill="auto"/>
            <w:vAlign w:val="center"/>
          </w:tcPr>
          <w:p>
            <w:pPr>
              <w:jc w:val="center"/>
              <w:rPr>
                <w:rFonts w:hint="eastAsia"/>
                <w:color w:val="000000"/>
                <w:sz w:val="21"/>
                <w:szCs w:val="21"/>
              </w:rPr>
            </w:pPr>
            <w:r>
              <w:rPr>
                <w:rFonts w:hint="eastAsia"/>
                <w:color w:val="000000"/>
                <w:sz w:val="21"/>
                <w:szCs w:val="21"/>
              </w:rPr>
              <w:t>高锰酸钾</w:t>
            </w:r>
          </w:p>
        </w:tc>
        <w:tc>
          <w:tcPr>
            <w:tcW w:w="1890" w:type="dxa"/>
            <w:tcBorders>
              <w:top w:val="single" w:color="000000" w:sz="6" w:space="0"/>
              <w:bottom w:val="single" w:color="auto" w:sz="12" w:space="0"/>
            </w:tcBorders>
            <w:shd w:val="clear" w:color="auto" w:fill="auto"/>
            <w:vAlign w:val="center"/>
          </w:tcPr>
          <w:p>
            <w:pPr>
              <w:jc w:val="center"/>
              <w:rPr>
                <w:rFonts w:hint="eastAsia"/>
                <w:color w:val="000000"/>
                <w:sz w:val="21"/>
                <w:szCs w:val="21"/>
              </w:rPr>
            </w:pPr>
          </w:p>
        </w:tc>
        <w:tc>
          <w:tcPr>
            <w:tcW w:w="1705" w:type="dxa"/>
            <w:tcBorders>
              <w:top w:val="single" w:color="000000" w:sz="6" w:space="0"/>
              <w:bottom w:val="single" w:color="auto" w:sz="12" w:space="0"/>
            </w:tcBorders>
            <w:shd w:val="clear" w:color="auto" w:fill="auto"/>
            <w:vAlign w:val="center"/>
          </w:tcPr>
          <w:p>
            <w:pPr>
              <w:ind w:right="300" w:rightChars="107"/>
              <w:jc w:val="center"/>
              <w:rPr>
                <w:rFonts w:hint="eastAsia"/>
                <w:color w:val="000000"/>
                <w:sz w:val="21"/>
                <w:szCs w:val="21"/>
              </w:rPr>
            </w:pPr>
            <w:r>
              <w:rPr>
                <w:rFonts w:hint="eastAsia"/>
                <w:color w:val="000000"/>
                <w:sz w:val="21"/>
                <w:szCs w:val="21"/>
              </w:rPr>
              <w:t>4.5</w:t>
            </w:r>
          </w:p>
        </w:tc>
        <w:tc>
          <w:tcPr>
            <w:tcW w:w="2114" w:type="dxa"/>
            <w:tcBorders>
              <w:top w:val="single" w:color="000000" w:sz="6" w:space="0"/>
              <w:bottom w:val="single" w:color="auto" w:sz="12" w:space="0"/>
            </w:tcBorders>
            <w:shd w:val="clear" w:color="auto" w:fill="auto"/>
            <w:vAlign w:val="center"/>
          </w:tcPr>
          <w:p>
            <w:pPr>
              <w:jc w:val="center"/>
              <w:rPr>
                <w:rFonts w:hint="eastAsia"/>
                <w:color w:val="000000"/>
                <w:sz w:val="21"/>
                <w:szCs w:val="21"/>
              </w:rPr>
            </w:pPr>
            <w:r>
              <w:rPr>
                <w:rFonts w:hint="eastAsia"/>
                <w:color w:val="000000"/>
                <w:sz w:val="21"/>
                <w:szCs w:val="21"/>
              </w:rPr>
              <w:t>外购</w:t>
            </w:r>
          </w:p>
        </w:tc>
      </w:tr>
    </w:tbl>
    <w:p>
      <w:pPr>
        <w:pStyle w:val="30"/>
        <w:spacing w:before="0" w:beforeAutospacing="0" w:after="0" w:afterAutospacing="0" w:line="396" w:lineRule="auto"/>
        <w:rPr>
          <w:rFonts w:hint="eastAsia" w:ascii="Times New Roman" w:hAnsi="Times New Roman"/>
          <w:color w:val="000000"/>
        </w:rPr>
      </w:pPr>
      <w:r>
        <w:rPr>
          <w:rFonts w:hint="eastAsia" w:ascii="Times New Roman" w:hAnsi="Times New Roman" w:cs="Times New Roman"/>
          <w:color w:val="000000"/>
        </w:rPr>
        <w:t>（2）氯化锌生产</w:t>
      </w:r>
      <w:r>
        <w:rPr>
          <w:rFonts w:ascii="Times New Roman" w:hAnsi="Times New Roman"/>
          <w:color w:val="000000"/>
        </w:rPr>
        <w:t>主要原辅材料和</w:t>
      </w:r>
      <w:r>
        <w:rPr>
          <w:rFonts w:hint="eastAsia" w:ascii="Times New Roman" w:hAnsi="Times New Roman"/>
          <w:color w:val="000000"/>
        </w:rPr>
        <w:t>主要设备</w:t>
      </w:r>
      <w:r>
        <w:rPr>
          <w:rFonts w:ascii="Times New Roman" w:hAnsi="Times New Roman"/>
          <w:color w:val="000000"/>
        </w:rPr>
        <w:t>见表</w:t>
      </w:r>
      <w:r>
        <w:rPr>
          <w:rFonts w:hint="eastAsia" w:ascii="Times New Roman" w:hAnsi="Times New Roman"/>
          <w:color w:val="000000"/>
          <w:lang w:val="en-US" w:eastAsia="zh-CN"/>
        </w:rPr>
        <w:t>2.2-3</w:t>
      </w:r>
      <w:r>
        <w:rPr>
          <w:rFonts w:ascii="Times New Roman" w:hAnsi="Times New Roman"/>
          <w:color w:val="000000"/>
        </w:rPr>
        <w:t>。</w:t>
      </w:r>
    </w:p>
    <w:p>
      <w:pPr>
        <w:spacing w:line="396" w:lineRule="auto"/>
        <w:ind w:firstLine="360" w:firstLineChars="150"/>
        <w:jc w:val="center"/>
        <w:rPr>
          <w:color w:val="000000"/>
          <w:sz w:val="24"/>
          <w:szCs w:val="24"/>
        </w:rPr>
      </w:pPr>
      <w:r>
        <w:rPr>
          <w:color w:val="000000"/>
          <w:sz w:val="24"/>
          <w:szCs w:val="24"/>
        </w:rPr>
        <w:t>表</w:t>
      </w:r>
      <w:r>
        <w:rPr>
          <w:rFonts w:hint="eastAsia"/>
          <w:color w:val="000000"/>
          <w:sz w:val="24"/>
          <w:szCs w:val="24"/>
          <w:lang w:val="en-US" w:eastAsia="zh-CN"/>
        </w:rPr>
        <w:t>2.2-3</w:t>
      </w:r>
      <w:r>
        <w:rPr>
          <w:color w:val="000000"/>
          <w:sz w:val="24"/>
          <w:szCs w:val="24"/>
        </w:rPr>
        <w:t>主要原辅材料、燃料来源及消耗表</w:t>
      </w:r>
    </w:p>
    <w:tbl>
      <w:tblPr>
        <w:tblStyle w:val="39"/>
        <w:tblW w:w="9223"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552"/>
        <w:gridCol w:w="1988"/>
        <w:gridCol w:w="1793"/>
        <w:gridCol w:w="1798"/>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092" w:type="dxa"/>
            <w:tcBorders>
              <w:top w:val="single" w:color="000000" w:sz="12" w:space="0"/>
              <w:bottom w:val="double" w:color="auto" w:sz="4" w:space="0"/>
              <w:right w:val="single" w:color="000000" w:sz="6" w:space="0"/>
            </w:tcBorders>
            <w:shd w:val="clear" w:color="auto" w:fill="auto"/>
            <w:vAlign w:val="center"/>
          </w:tcPr>
          <w:p>
            <w:pPr>
              <w:jc w:val="center"/>
              <w:rPr>
                <w:iCs/>
                <w:color w:val="000000"/>
                <w:sz w:val="21"/>
                <w:szCs w:val="21"/>
              </w:rPr>
            </w:pPr>
            <w:r>
              <w:rPr>
                <w:iCs/>
                <w:color w:val="000000"/>
                <w:sz w:val="21"/>
                <w:szCs w:val="21"/>
              </w:rPr>
              <w:t>序号</w:t>
            </w:r>
          </w:p>
        </w:tc>
        <w:tc>
          <w:tcPr>
            <w:tcW w:w="2552" w:type="dxa"/>
            <w:tcBorders>
              <w:top w:val="single" w:color="000000" w:sz="12" w:space="0"/>
              <w:bottom w:val="double" w:color="auto" w:sz="4" w:space="0"/>
            </w:tcBorders>
            <w:shd w:val="clear" w:color="auto" w:fill="auto"/>
            <w:vAlign w:val="center"/>
          </w:tcPr>
          <w:p>
            <w:pPr>
              <w:jc w:val="center"/>
              <w:rPr>
                <w:iCs/>
                <w:color w:val="000000"/>
                <w:sz w:val="21"/>
                <w:szCs w:val="21"/>
              </w:rPr>
            </w:pPr>
            <w:r>
              <w:rPr>
                <w:iCs/>
                <w:color w:val="000000"/>
                <w:sz w:val="21"/>
                <w:szCs w:val="21"/>
              </w:rPr>
              <w:t>原料名称</w:t>
            </w:r>
          </w:p>
        </w:tc>
        <w:tc>
          <w:tcPr>
            <w:tcW w:w="1988" w:type="dxa"/>
            <w:tcBorders>
              <w:top w:val="single" w:color="000000" w:sz="12" w:space="0"/>
              <w:bottom w:val="double" w:color="auto" w:sz="4" w:space="0"/>
            </w:tcBorders>
            <w:shd w:val="clear" w:color="auto" w:fill="auto"/>
            <w:vAlign w:val="center"/>
          </w:tcPr>
          <w:p>
            <w:pPr>
              <w:jc w:val="center"/>
              <w:rPr>
                <w:iCs/>
                <w:color w:val="000000"/>
                <w:sz w:val="21"/>
                <w:szCs w:val="21"/>
              </w:rPr>
            </w:pPr>
            <w:r>
              <w:rPr>
                <w:iCs/>
                <w:color w:val="000000"/>
                <w:sz w:val="21"/>
                <w:szCs w:val="21"/>
              </w:rPr>
              <w:t>规格</w:t>
            </w:r>
          </w:p>
        </w:tc>
        <w:tc>
          <w:tcPr>
            <w:tcW w:w="1793" w:type="dxa"/>
            <w:tcBorders>
              <w:top w:val="single" w:color="000000" w:sz="12" w:space="0"/>
              <w:bottom w:val="double" w:color="auto" w:sz="4" w:space="0"/>
            </w:tcBorders>
            <w:shd w:val="clear" w:color="auto" w:fill="auto"/>
            <w:vAlign w:val="center"/>
          </w:tcPr>
          <w:p>
            <w:pPr>
              <w:jc w:val="center"/>
              <w:rPr>
                <w:rFonts w:hint="eastAsia"/>
                <w:iCs/>
                <w:color w:val="000000"/>
                <w:sz w:val="21"/>
                <w:szCs w:val="21"/>
              </w:rPr>
            </w:pPr>
            <w:r>
              <w:rPr>
                <w:rFonts w:hint="eastAsia"/>
                <w:iCs/>
                <w:color w:val="000000"/>
                <w:sz w:val="21"/>
                <w:szCs w:val="21"/>
              </w:rPr>
              <w:t>消耗定量(t/a)</w:t>
            </w:r>
          </w:p>
        </w:tc>
        <w:tc>
          <w:tcPr>
            <w:tcW w:w="1798" w:type="dxa"/>
            <w:tcBorders>
              <w:top w:val="single" w:color="000000" w:sz="12" w:space="0"/>
              <w:bottom w:val="double" w:color="auto" w:sz="4" w:space="0"/>
            </w:tcBorders>
            <w:shd w:val="clear" w:color="auto" w:fill="auto"/>
            <w:vAlign w:val="center"/>
          </w:tcPr>
          <w:p>
            <w:pPr>
              <w:jc w:val="center"/>
              <w:rPr>
                <w:rFonts w:hint="eastAsia"/>
                <w:b/>
                <w:bCs/>
                <w:color w:val="000000"/>
                <w:sz w:val="21"/>
                <w:szCs w:val="21"/>
              </w:rPr>
            </w:pPr>
            <w:r>
              <w:rPr>
                <w:rFonts w:hint="eastAsia"/>
                <w:b/>
                <w:bCs/>
                <w:color w:val="000000"/>
                <w:sz w:val="21"/>
                <w:szCs w:val="21"/>
              </w:rPr>
              <w:t>备注</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092" w:type="dxa"/>
            <w:tcBorders>
              <w:top w:val="single" w:color="auto" w:sz="4" w:space="0"/>
              <w:right w:val="single" w:color="000000" w:sz="6" w:space="0"/>
            </w:tcBorders>
            <w:shd w:val="clear" w:color="auto" w:fill="auto"/>
            <w:vAlign w:val="center"/>
          </w:tcPr>
          <w:p>
            <w:pPr>
              <w:jc w:val="center"/>
              <w:rPr>
                <w:color w:val="000000"/>
                <w:sz w:val="21"/>
                <w:szCs w:val="21"/>
              </w:rPr>
            </w:pPr>
            <w:r>
              <w:rPr>
                <w:color w:val="000000"/>
                <w:sz w:val="21"/>
                <w:szCs w:val="21"/>
              </w:rPr>
              <w:t>1</w:t>
            </w:r>
          </w:p>
        </w:tc>
        <w:tc>
          <w:tcPr>
            <w:tcW w:w="2552" w:type="dxa"/>
            <w:tcBorders>
              <w:top w:val="single" w:color="auto" w:sz="4" w:space="0"/>
            </w:tcBorders>
            <w:shd w:val="clear" w:color="auto" w:fill="auto"/>
            <w:vAlign w:val="center"/>
          </w:tcPr>
          <w:p>
            <w:pPr>
              <w:jc w:val="center"/>
              <w:rPr>
                <w:rFonts w:hint="eastAsia"/>
                <w:color w:val="000000"/>
                <w:sz w:val="21"/>
                <w:szCs w:val="21"/>
              </w:rPr>
            </w:pPr>
            <w:r>
              <w:rPr>
                <w:rFonts w:hint="eastAsia"/>
                <w:color w:val="000000"/>
                <w:sz w:val="21"/>
                <w:szCs w:val="21"/>
              </w:rPr>
              <w:t>次氧化锌</w:t>
            </w:r>
          </w:p>
        </w:tc>
        <w:tc>
          <w:tcPr>
            <w:tcW w:w="1988" w:type="dxa"/>
            <w:tcBorders>
              <w:top w:val="single" w:color="auto" w:sz="4" w:space="0"/>
            </w:tcBorders>
            <w:shd w:val="clear" w:color="auto" w:fill="auto"/>
            <w:vAlign w:val="center"/>
          </w:tcPr>
          <w:p>
            <w:pPr>
              <w:ind w:left="0" w:leftChars="0" w:firstLine="0" w:firstLineChars="0"/>
              <w:jc w:val="both"/>
              <w:rPr>
                <w:rFonts w:hint="eastAsia"/>
                <w:color w:val="000000"/>
                <w:sz w:val="21"/>
                <w:szCs w:val="21"/>
              </w:rPr>
            </w:pPr>
          </w:p>
        </w:tc>
        <w:tc>
          <w:tcPr>
            <w:tcW w:w="1793" w:type="dxa"/>
            <w:tcBorders>
              <w:top w:val="single" w:color="auto" w:sz="4" w:space="0"/>
            </w:tcBorders>
            <w:shd w:val="clear" w:color="auto" w:fill="auto"/>
            <w:vAlign w:val="center"/>
          </w:tcPr>
          <w:p>
            <w:pPr>
              <w:ind w:right="300" w:rightChars="107"/>
              <w:jc w:val="center"/>
              <w:rPr>
                <w:rFonts w:hint="eastAsia"/>
                <w:color w:val="000000"/>
                <w:sz w:val="21"/>
                <w:szCs w:val="21"/>
              </w:rPr>
            </w:pPr>
            <w:r>
              <w:rPr>
                <w:rFonts w:hint="eastAsia"/>
                <w:color w:val="000000"/>
                <w:sz w:val="21"/>
                <w:szCs w:val="21"/>
              </w:rPr>
              <w:t>3000</w:t>
            </w:r>
          </w:p>
        </w:tc>
        <w:tc>
          <w:tcPr>
            <w:tcW w:w="1798" w:type="dxa"/>
            <w:tcBorders>
              <w:top w:val="single" w:color="auto" w:sz="4" w:space="0"/>
            </w:tcBorders>
            <w:shd w:val="clear" w:color="auto" w:fill="auto"/>
            <w:vAlign w:val="center"/>
          </w:tcPr>
          <w:p>
            <w:pPr>
              <w:jc w:val="center"/>
              <w:rPr>
                <w:rFonts w:hint="eastAsia"/>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092" w:type="dxa"/>
            <w:tcBorders>
              <w:right w:val="single" w:color="000000" w:sz="6" w:space="0"/>
            </w:tcBorders>
            <w:shd w:val="clear" w:color="auto" w:fill="auto"/>
            <w:vAlign w:val="center"/>
          </w:tcPr>
          <w:p>
            <w:pPr>
              <w:jc w:val="center"/>
              <w:rPr>
                <w:color w:val="000000"/>
                <w:sz w:val="21"/>
                <w:szCs w:val="21"/>
              </w:rPr>
            </w:pPr>
            <w:r>
              <w:rPr>
                <w:color w:val="000000"/>
                <w:sz w:val="21"/>
                <w:szCs w:val="21"/>
              </w:rPr>
              <w:t>2</w:t>
            </w:r>
          </w:p>
        </w:tc>
        <w:tc>
          <w:tcPr>
            <w:tcW w:w="2552" w:type="dxa"/>
            <w:shd w:val="clear" w:color="auto" w:fill="auto"/>
            <w:vAlign w:val="center"/>
          </w:tcPr>
          <w:p>
            <w:pPr>
              <w:jc w:val="center"/>
              <w:rPr>
                <w:rFonts w:hint="eastAsia"/>
                <w:color w:val="000000"/>
                <w:sz w:val="21"/>
                <w:szCs w:val="21"/>
              </w:rPr>
            </w:pPr>
            <w:r>
              <w:rPr>
                <w:rFonts w:hint="eastAsia"/>
                <w:color w:val="000000"/>
                <w:sz w:val="21"/>
                <w:szCs w:val="21"/>
              </w:rPr>
              <w:t>盐酸</w:t>
            </w:r>
          </w:p>
        </w:tc>
        <w:tc>
          <w:tcPr>
            <w:tcW w:w="1988" w:type="dxa"/>
            <w:shd w:val="clear" w:color="auto" w:fill="auto"/>
            <w:vAlign w:val="center"/>
          </w:tcPr>
          <w:p>
            <w:pPr>
              <w:jc w:val="both"/>
              <w:rPr>
                <w:rFonts w:hint="eastAsia"/>
                <w:color w:val="000000"/>
                <w:sz w:val="21"/>
                <w:szCs w:val="21"/>
              </w:rPr>
            </w:pPr>
            <w:r>
              <w:rPr>
                <w:rFonts w:hint="eastAsia"/>
                <w:color w:val="000000"/>
                <w:sz w:val="21"/>
                <w:szCs w:val="21"/>
              </w:rPr>
              <w:t>HCl16%</w:t>
            </w:r>
          </w:p>
        </w:tc>
        <w:tc>
          <w:tcPr>
            <w:tcW w:w="1793" w:type="dxa"/>
            <w:shd w:val="clear" w:color="auto" w:fill="auto"/>
            <w:vAlign w:val="center"/>
          </w:tcPr>
          <w:p>
            <w:pPr>
              <w:ind w:right="300" w:rightChars="107"/>
              <w:jc w:val="center"/>
              <w:rPr>
                <w:rFonts w:hint="eastAsia"/>
                <w:color w:val="000000"/>
                <w:sz w:val="21"/>
                <w:szCs w:val="21"/>
              </w:rPr>
            </w:pPr>
            <w:r>
              <w:rPr>
                <w:rFonts w:hint="eastAsia"/>
                <w:color w:val="000000"/>
                <w:sz w:val="21"/>
                <w:szCs w:val="21"/>
              </w:rPr>
              <w:t>8100</w:t>
            </w:r>
          </w:p>
        </w:tc>
        <w:tc>
          <w:tcPr>
            <w:tcW w:w="1798" w:type="dxa"/>
            <w:shd w:val="clear" w:color="auto" w:fill="auto"/>
            <w:vAlign w:val="center"/>
          </w:tcPr>
          <w:p>
            <w:pPr>
              <w:jc w:val="center"/>
              <w:rPr>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092" w:type="dxa"/>
            <w:tcBorders>
              <w:right w:val="single" w:color="000000" w:sz="6" w:space="0"/>
            </w:tcBorders>
            <w:shd w:val="clear" w:color="auto" w:fill="auto"/>
            <w:vAlign w:val="center"/>
          </w:tcPr>
          <w:p>
            <w:pPr>
              <w:jc w:val="center"/>
              <w:rPr>
                <w:rFonts w:hint="eastAsia"/>
                <w:color w:val="000000"/>
                <w:sz w:val="21"/>
                <w:szCs w:val="21"/>
              </w:rPr>
            </w:pPr>
            <w:r>
              <w:rPr>
                <w:rFonts w:hint="eastAsia"/>
                <w:color w:val="000000"/>
                <w:sz w:val="21"/>
                <w:szCs w:val="21"/>
              </w:rPr>
              <w:t>3</w:t>
            </w:r>
          </w:p>
        </w:tc>
        <w:tc>
          <w:tcPr>
            <w:tcW w:w="2552" w:type="dxa"/>
            <w:shd w:val="clear" w:color="auto" w:fill="auto"/>
            <w:vAlign w:val="center"/>
          </w:tcPr>
          <w:p>
            <w:pPr>
              <w:jc w:val="center"/>
              <w:rPr>
                <w:rFonts w:hint="eastAsia"/>
                <w:color w:val="000000"/>
                <w:sz w:val="21"/>
                <w:szCs w:val="21"/>
              </w:rPr>
            </w:pPr>
            <w:r>
              <w:rPr>
                <w:rFonts w:hint="eastAsia"/>
                <w:color w:val="000000"/>
                <w:sz w:val="21"/>
                <w:szCs w:val="21"/>
              </w:rPr>
              <w:t>氯酸钾</w:t>
            </w:r>
          </w:p>
        </w:tc>
        <w:tc>
          <w:tcPr>
            <w:tcW w:w="1988" w:type="dxa"/>
            <w:shd w:val="clear" w:color="auto" w:fill="auto"/>
            <w:vAlign w:val="center"/>
          </w:tcPr>
          <w:p>
            <w:pPr>
              <w:jc w:val="center"/>
              <w:rPr>
                <w:rFonts w:hint="eastAsia"/>
                <w:color w:val="000000"/>
                <w:sz w:val="21"/>
                <w:szCs w:val="21"/>
              </w:rPr>
            </w:pPr>
          </w:p>
        </w:tc>
        <w:tc>
          <w:tcPr>
            <w:tcW w:w="1793" w:type="dxa"/>
            <w:shd w:val="clear" w:color="auto" w:fill="auto"/>
            <w:vAlign w:val="center"/>
          </w:tcPr>
          <w:p>
            <w:pPr>
              <w:ind w:right="300" w:rightChars="107"/>
              <w:jc w:val="center"/>
              <w:rPr>
                <w:rFonts w:hint="eastAsia"/>
                <w:color w:val="000000"/>
                <w:sz w:val="21"/>
                <w:szCs w:val="21"/>
              </w:rPr>
            </w:pPr>
            <w:r>
              <w:rPr>
                <w:rFonts w:hint="eastAsia"/>
                <w:color w:val="000000"/>
                <w:sz w:val="21"/>
                <w:szCs w:val="21"/>
              </w:rPr>
              <w:t>6</w:t>
            </w:r>
          </w:p>
        </w:tc>
        <w:tc>
          <w:tcPr>
            <w:tcW w:w="1798" w:type="dxa"/>
            <w:shd w:val="clear" w:color="auto" w:fill="auto"/>
            <w:vAlign w:val="center"/>
          </w:tcPr>
          <w:p>
            <w:pPr>
              <w:jc w:val="center"/>
              <w:rPr>
                <w:rFonts w:hint="eastAsia"/>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092" w:type="dxa"/>
            <w:tcBorders>
              <w:right w:val="single" w:color="000000" w:sz="6" w:space="0"/>
            </w:tcBorders>
            <w:shd w:val="clear" w:color="auto" w:fill="auto"/>
            <w:vAlign w:val="center"/>
          </w:tcPr>
          <w:p>
            <w:pPr>
              <w:jc w:val="center"/>
              <w:rPr>
                <w:rFonts w:hint="eastAsia"/>
                <w:color w:val="000000"/>
                <w:sz w:val="21"/>
                <w:szCs w:val="21"/>
              </w:rPr>
            </w:pPr>
            <w:r>
              <w:rPr>
                <w:rFonts w:hint="eastAsia"/>
                <w:color w:val="000000"/>
                <w:sz w:val="21"/>
                <w:szCs w:val="21"/>
              </w:rPr>
              <w:t>4</w:t>
            </w:r>
          </w:p>
        </w:tc>
        <w:tc>
          <w:tcPr>
            <w:tcW w:w="2552" w:type="dxa"/>
            <w:shd w:val="clear" w:color="auto" w:fill="auto"/>
            <w:vAlign w:val="center"/>
          </w:tcPr>
          <w:p>
            <w:pPr>
              <w:jc w:val="center"/>
              <w:rPr>
                <w:rFonts w:hint="eastAsia"/>
                <w:color w:val="000000"/>
                <w:sz w:val="21"/>
                <w:szCs w:val="21"/>
              </w:rPr>
            </w:pPr>
            <w:r>
              <w:rPr>
                <w:rFonts w:hint="eastAsia"/>
                <w:color w:val="000000"/>
                <w:sz w:val="21"/>
                <w:szCs w:val="21"/>
              </w:rPr>
              <w:t>高锰酸钾</w:t>
            </w:r>
          </w:p>
        </w:tc>
        <w:tc>
          <w:tcPr>
            <w:tcW w:w="1988" w:type="dxa"/>
            <w:shd w:val="clear" w:color="auto" w:fill="auto"/>
            <w:vAlign w:val="center"/>
          </w:tcPr>
          <w:p>
            <w:pPr>
              <w:jc w:val="center"/>
              <w:rPr>
                <w:rFonts w:hint="eastAsia"/>
                <w:color w:val="000000"/>
                <w:sz w:val="21"/>
                <w:szCs w:val="21"/>
              </w:rPr>
            </w:pPr>
          </w:p>
        </w:tc>
        <w:tc>
          <w:tcPr>
            <w:tcW w:w="1793" w:type="dxa"/>
            <w:shd w:val="clear" w:color="auto" w:fill="auto"/>
            <w:vAlign w:val="center"/>
          </w:tcPr>
          <w:p>
            <w:pPr>
              <w:ind w:right="300" w:rightChars="107"/>
              <w:jc w:val="center"/>
              <w:rPr>
                <w:rFonts w:hint="eastAsia"/>
                <w:color w:val="000000"/>
                <w:sz w:val="21"/>
                <w:szCs w:val="21"/>
              </w:rPr>
            </w:pPr>
            <w:r>
              <w:rPr>
                <w:rFonts w:hint="eastAsia"/>
                <w:color w:val="000000"/>
                <w:sz w:val="21"/>
                <w:szCs w:val="21"/>
              </w:rPr>
              <w:t>4.5</w:t>
            </w:r>
          </w:p>
        </w:tc>
        <w:tc>
          <w:tcPr>
            <w:tcW w:w="1798" w:type="dxa"/>
            <w:shd w:val="clear" w:color="auto" w:fill="auto"/>
            <w:vAlign w:val="center"/>
          </w:tcPr>
          <w:p>
            <w:pPr>
              <w:jc w:val="center"/>
              <w:rPr>
                <w:rFonts w:hint="eastAsia"/>
                <w:color w:val="000000"/>
                <w:sz w:val="21"/>
                <w:szCs w:val="21"/>
              </w:rPr>
            </w:pPr>
            <w:r>
              <w:rPr>
                <w:rFonts w:hint="eastAsia"/>
                <w:color w:val="000000"/>
                <w:sz w:val="21"/>
                <w:szCs w:val="21"/>
              </w:rPr>
              <w:t>外购</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PrEx>
        <w:trPr>
          <w:trHeight w:val="340" w:hRule="exact"/>
        </w:trPr>
        <w:tc>
          <w:tcPr>
            <w:tcW w:w="1092" w:type="dxa"/>
            <w:tcBorders>
              <w:top w:val="single" w:color="000000" w:sz="6" w:space="0"/>
              <w:right w:val="single" w:color="000000" w:sz="6" w:space="0"/>
            </w:tcBorders>
            <w:shd w:val="clear" w:color="auto" w:fill="auto"/>
            <w:vAlign w:val="center"/>
          </w:tcPr>
          <w:p>
            <w:pPr>
              <w:jc w:val="center"/>
              <w:rPr>
                <w:rFonts w:hint="eastAsia"/>
                <w:b/>
                <w:bCs/>
                <w:color w:val="000000"/>
                <w:sz w:val="21"/>
                <w:szCs w:val="21"/>
              </w:rPr>
            </w:pPr>
            <w:r>
              <w:rPr>
                <w:rFonts w:hint="eastAsia"/>
                <w:b/>
                <w:bCs/>
                <w:color w:val="000000"/>
                <w:sz w:val="21"/>
                <w:szCs w:val="21"/>
              </w:rPr>
              <w:t>5</w:t>
            </w:r>
          </w:p>
        </w:tc>
        <w:tc>
          <w:tcPr>
            <w:tcW w:w="2552" w:type="dxa"/>
            <w:tcBorders>
              <w:top w:val="single" w:color="000000" w:sz="6" w:space="0"/>
            </w:tcBorders>
            <w:shd w:val="clear" w:color="auto" w:fill="auto"/>
            <w:vAlign w:val="center"/>
          </w:tcPr>
          <w:p>
            <w:pPr>
              <w:jc w:val="center"/>
              <w:rPr>
                <w:rFonts w:hint="eastAsia"/>
                <w:color w:val="000000"/>
                <w:sz w:val="21"/>
                <w:szCs w:val="21"/>
              </w:rPr>
            </w:pPr>
            <w:r>
              <w:rPr>
                <w:rFonts w:hint="eastAsia"/>
                <w:color w:val="000000"/>
                <w:sz w:val="21"/>
                <w:szCs w:val="21"/>
              </w:rPr>
              <w:t>锌粉</w:t>
            </w:r>
          </w:p>
        </w:tc>
        <w:tc>
          <w:tcPr>
            <w:tcW w:w="1988" w:type="dxa"/>
            <w:tcBorders>
              <w:top w:val="single" w:color="000000" w:sz="6" w:space="0"/>
            </w:tcBorders>
            <w:shd w:val="clear" w:color="auto" w:fill="auto"/>
            <w:vAlign w:val="center"/>
          </w:tcPr>
          <w:p>
            <w:pPr>
              <w:jc w:val="center"/>
              <w:rPr>
                <w:rFonts w:hint="eastAsia"/>
                <w:color w:val="000000"/>
                <w:sz w:val="21"/>
                <w:szCs w:val="21"/>
              </w:rPr>
            </w:pPr>
          </w:p>
        </w:tc>
        <w:tc>
          <w:tcPr>
            <w:tcW w:w="1793" w:type="dxa"/>
            <w:tcBorders>
              <w:top w:val="single" w:color="000000" w:sz="6" w:space="0"/>
            </w:tcBorders>
            <w:shd w:val="clear" w:color="auto" w:fill="auto"/>
            <w:vAlign w:val="center"/>
          </w:tcPr>
          <w:p>
            <w:pPr>
              <w:ind w:right="300" w:rightChars="107"/>
              <w:jc w:val="center"/>
              <w:rPr>
                <w:rFonts w:hint="eastAsia"/>
                <w:color w:val="000000"/>
                <w:sz w:val="21"/>
                <w:szCs w:val="21"/>
              </w:rPr>
            </w:pPr>
            <w:r>
              <w:rPr>
                <w:rFonts w:hint="eastAsia"/>
                <w:color w:val="000000"/>
                <w:sz w:val="21"/>
                <w:szCs w:val="21"/>
              </w:rPr>
              <w:t>6</w:t>
            </w:r>
          </w:p>
        </w:tc>
        <w:tc>
          <w:tcPr>
            <w:tcW w:w="1798" w:type="dxa"/>
            <w:tcBorders>
              <w:top w:val="single" w:color="000000" w:sz="6" w:space="0"/>
            </w:tcBorders>
            <w:shd w:val="clear" w:color="auto" w:fill="auto"/>
            <w:vAlign w:val="center"/>
          </w:tcPr>
          <w:p>
            <w:pPr>
              <w:jc w:val="center"/>
              <w:rPr>
                <w:rFonts w:hint="eastAsia"/>
                <w:color w:val="000000"/>
                <w:sz w:val="21"/>
                <w:szCs w:val="21"/>
              </w:rPr>
            </w:pPr>
            <w:r>
              <w:rPr>
                <w:rFonts w:hint="eastAsia"/>
                <w:color w:val="000000"/>
                <w:sz w:val="21"/>
                <w:szCs w:val="21"/>
              </w:rPr>
              <w:t>外购</w:t>
            </w:r>
          </w:p>
        </w:tc>
      </w:tr>
    </w:tbl>
    <w:p>
      <w:pPr>
        <w:snapToGrid w:val="0"/>
        <w:spacing w:line="500" w:lineRule="exact"/>
        <w:ind w:left="0" w:leftChars="0" w:right="0" w:rightChars="0" w:firstLine="0" w:firstLineChars="0"/>
        <w:jc w:val="center"/>
        <w:rPr>
          <w:rFonts w:ascii="仿宋" w:hAnsi="仿宋" w:eastAsia="仿宋"/>
          <w:b/>
          <w:sz w:val="24"/>
          <w:highlight w:val="none"/>
        </w:rPr>
      </w:pPr>
    </w:p>
    <w:p>
      <w:pPr>
        <w:pStyle w:val="132"/>
        <w:rPr>
          <w:rFonts w:ascii="仿宋" w:hAnsi="仿宋" w:eastAsia="仿宋"/>
        </w:rPr>
      </w:pPr>
      <w:bookmarkStart w:id="100" w:name="_Toc328731295"/>
      <w:bookmarkStart w:id="101" w:name="_Toc359419356"/>
      <w:bookmarkStart w:id="102" w:name="_Toc4620"/>
      <w:bookmarkStart w:id="103" w:name="_Toc358716430"/>
      <w:r>
        <w:rPr>
          <w:rFonts w:ascii="仿宋" w:hAnsi="仿宋" w:eastAsia="仿宋"/>
        </w:rPr>
        <w:t>2.2.</w:t>
      </w:r>
      <w:r>
        <w:rPr>
          <w:rFonts w:hint="eastAsia" w:ascii="仿宋" w:hAnsi="仿宋" w:eastAsia="仿宋"/>
        </w:rPr>
        <w:t>3</w:t>
      </w:r>
      <w:r>
        <w:rPr>
          <w:rFonts w:ascii="仿宋" w:hAnsi="仿宋" w:eastAsia="仿宋"/>
        </w:rPr>
        <w:t>生产工艺流程及生产</w:t>
      </w:r>
      <w:bookmarkEnd w:id="100"/>
      <w:r>
        <w:rPr>
          <w:rFonts w:ascii="仿宋" w:hAnsi="仿宋" w:eastAsia="仿宋"/>
        </w:rPr>
        <w:t>设备</w:t>
      </w:r>
      <w:bookmarkEnd w:id="101"/>
      <w:bookmarkEnd w:id="102"/>
      <w:bookmarkEnd w:id="103"/>
      <w:bookmarkStart w:id="104" w:name="_Toc328731294"/>
      <w:bookmarkStart w:id="105" w:name="_Toc328836528"/>
      <w:bookmarkStart w:id="106" w:name="_Toc328836395"/>
      <w:bookmarkStart w:id="107" w:name="_Toc328836328"/>
      <w:bookmarkStart w:id="108" w:name="_Toc328836754"/>
      <w:bookmarkStart w:id="109" w:name="_Toc243813817"/>
      <w:bookmarkStart w:id="110" w:name="_Toc225244054"/>
      <w:bookmarkStart w:id="111" w:name="_Toc243967876"/>
      <w:bookmarkStart w:id="112" w:name="_Toc243967970"/>
      <w:bookmarkStart w:id="113" w:name="_Toc224965871"/>
      <w:bookmarkStart w:id="114" w:name="_Toc278186391"/>
      <w:bookmarkStart w:id="115" w:name="_Toc328731296"/>
    </w:p>
    <w:p>
      <w:pPr>
        <w:snapToGrid w:val="0"/>
        <w:outlineLvl w:val="1"/>
        <w:rPr>
          <w:rFonts w:hint="eastAsia" w:eastAsia="黑体"/>
          <w:color w:val="000000"/>
          <w:sz w:val="24"/>
        </w:rPr>
      </w:pPr>
      <w:bookmarkStart w:id="116" w:name="_Toc189218122"/>
      <w:bookmarkStart w:id="117" w:name="_Toc185381613"/>
      <w:bookmarkStart w:id="118" w:name="_Toc189221085"/>
      <w:bookmarkStart w:id="119" w:name="_Toc262048914"/>
      <w:bookmarkStart w:id="120" w:name="_Toc185740934"/>
      <w:bookmarkStart w:id="121" w:name="_Toc185740386"/>
      <w:bookmarkStart w:id="122" w:name="_Toc15773"/>
      <w:bookmarkStart w:id="123" w:name="_Toc359419361"/>
      <w:r>
        <w:rPr>
          <w:rFonts w:hint="eastAsia" w:eastAsia="黑体"/>
          <w:color w:val="000000"/>
          <w:sz w:val="24"/>
          <w:lang w:val="en-US" w:eastAsia="zh-CN"/>
        </w:rPr>
        <w:t>2.2.3.1</w:t>
      </w:r>
      <w:r>
        <w:rPr>
          <w:rFonts w:eastAsia="黑体"/>
          <w:color w:val="000000"/>
          <w:sz w:val="24"/>
        </w:rPr>
        <w:t xml:space="preserve">  </w:t>
      </w:r>
      <w:r>
        <w:rPr>
          <w:rFonts w:hint="eastAsia" w:eastAsia="黑体"/>
          <w:color w:val="000000"/>
          <w:sz w:val="24"/>
        </w:rPr>
        <w:t>工艺流程</w:t>
      </w:r>
      <w:bookmarkEnd w:id="116"/>
      <w:bookmarkEnd w:id="117"/>
      <w:bookmarkEnd w:id="118"/>
      <w:bookmarkEnd w:id="119"/>
      <w:bookmarkEnd w:id="120"/>
      <w:bookmarkEnd w:id="121"/>
      <w:bookmarkEnd w:id="122"/>
    </w:p>
    <w:p>
      <w:pPr>
        <w:snapToGrid w:val="0"/>
        <w:rPr>
          <w:rFonts w:hint="eastAsia" w:eastAsia="黑体"/>
          <w:color w:val="000000"/>
          <w:sz w:val="24"/>
        </w:rPr>
      </w:pPr>
    </w:p>
    <w:p>
      <w:pPr>
        <w:snapToGrid w:val="0"/>
        <w:spacing w:line="360" w:lineRule="auto"/>
        <w:rPr>
          <w:rFonts w:hint="eastAsia" w:eastAsia="黑体"/>
          <w:color w:val="000000"/>
          <w:sz w:val="24"/>
        </w:rPr>
      </w:pPr>
      <w:r>
        <w:rPr>
          <w:rFonts w:hint="eastAsia" w:eastAsia="黑体"/>
          <w:color w:val="000000"/>
          <w:sz w:val="24"/>
          <w:lang w:val="en-US" w:eastAsia="zh-CN"/>
        </w:rPr>
        <w:t>2.2.</w:t>
      </w:r>
      <w:r>
        <w:rPr>
          <w:rFonts w:hint="eastAsia" w:eastAsia="黑体"/>
          <w:color w:val="000000"/>
          <w:sz w:val="24"/>
        </w:rPr>
        <w:t>3</w:t>
      </w:r>
      <w:r>
        <w:rPr>
          <w:rFonts w:hint="eastAsia" w:eastAsia="黑体"/>
          <w:color w:val="000000"/>
          <w:sz w:val="24"/>
          <w:lang w:val="en-US" w:eastAsia="zh-CN"/>
        </w:rPr>
        <w:t>-1</w:t>
      </w:r>
      <w:r>
        <w:rPr>
          <w:rFonts w:hint="eastAsia" w:eastAsia="黑体"/>
          <w:color w:val="000000"/>
          <w:sz w:val="24"/>
        </w:rPr>
        <w:t xml:space="preserve"> 纳米氧化锌生产工艺流程</w:t>
      </w:r>
    </w:p>
    <w:p>
      <w:pPr>
        <w:spacing w:line="360" w:lineRule="auto"/>
        <w:ind w:firstLine="480" w:firstLineChars="200"/>
        <w:rPr>
          <w:rFonts w:hint="eastAsia"/>
          <w:color w:val="000000"/>
          <w:sz w:val="24"/>
          <w:szCs w:val="24"/>
        </w:rPr>
      </w:pPr>
      <w:r>
        <w:rPr>
          <w:rFonts w:hint="eastAsia"/>
          <w:color w:val="000000"/>
          <w:sz w:val="24"/>
          <w:szCs w:val="24"/>
        </w:rPr>
        <w:t>选用目前国内比较先进的碳酸氢铵湿法制纳米氧化锌工艺，工艺流程简要叙述如下：</w:t>
      </w:r>
    </w:p>
    <w:p>
      <w:pPr>
        <w:spacing w:line="384" w:lineRule="auto"/>
        <w:rPr>
          <w:rFonts w:hint="eastAsia"/>
          <w:color w:val="000000"/>
          <w:sz w:val="24"/>
          <w:szCs w:val="24"/>
        </w:rPr>
      </w:pPr>
      <w:r>
        <w:rPr>
          <w:rFonts w:hint="eastAsia"/>
          <w:color w:val="000000"/>
          <w:sz w:val="24"/>
          <w:szCs w:val="24"/>
        </w:rPr>
        <w:t>主要化学反应:</w:t>
      </w:r>
      <w:r>
        <w:rPr>
          <w:color w:val="000000"/>
          <w:sz w:val="24"/>
          <w:szCs w:val="24"/>
        </w:rPr>
        <w:t xml:space="preserve">            </w:t>
      </w:r>
    </w:p>
    <w:p>
      <w:pPr>
        <w:spacing w:line="384" w:lineRule="auto"/>
        <w:ind w:firstLine="480" w:firstLineChars="200"/>
        <w:jc w:val="center"/>
        <w:rPr>
          <w:color w:val="000000"/>
          <w:sz w:val="24"/>
          <w:szCs w:val="24"/>
        </w:rPr>
      </w:pPr>
      <w:r>
        <w:rPr>
          <w:rFonts w:hint="eastAsia"/>
          <w:color w:val="000000"/>
          <w:sz w:val="24"/>
          <w:szCs w:val="24"/>
        </w:rPr>
        <w:t>H</w:t>
      </w:r>
      <w:r>
        <w:rPr>
          <w:rFonts w:hint="eastAsia"/>
          <w:color w:val="000000"/>
          <w:sz w:val="24"/>
          <w:szCs w:val="24"/>
          <w:vertAlign w:val="subscript"/>
        </w:rPr>
        <w:t>2</w:t>
      </w:r>
      <w:r>
        <w:rPr>
          <w:rFonts w:hint="eastAsia"/>
          <w:color w:val="000000"/>
          <w:sz w:val="24"/>
          <w:szCs w:val="24"/>
        </w:rPr>
        <w:t>SO</w:t>
      </w:r>
      <w:r>
        <w:rPr>
          <w:rFonts w:hint="eastAsia"/>
          <w:color w:val="000000"/>
          <w:sz w:val="24"/>
          <w:szCs w:val="24"/>
          <w:vertAlign w:val="subscript"/>
        </w:rPr>
        <w:t>4</w:t>
      </w:r>
      <w:r>
        <w:rPr>
          <w:rFonts w:hint="eastAsia"/>
          <w:color w:val="000000"/>
          <w:sz w:val="24"/>
          <w:szCs w:val="24"/>
        </w:rPr>
        <w:t xml:space="preserve"> + Z</w:t>
      </w:r>
      <w:r>
        <w:rPr>
          <w:color w:val="000000"/>
          <w:sz w:val="24"/>
          <w:szCs w:val="24"/>
        </w:rPr>
        <w:t>nO = ZnSO</w:t>
      </w:r>
      <w:r>
        <w:rPr>
          <w:color w:val="000000"/>
          <w:sz w:val="24"/>
          <w:szCs w:val="24"/>
          <w:vertAlign w:val="subscript"/>
        </w:rPr>
        <w:t>4</w:t>
      </w:r>
      <w:r>
        <w:rPr>
          <w:color w:val="000000"/>
          <w:sz w:val="24"/>
          <w:szCs w:val="24"/>
        </w:rPr>
        <w:t xml:space="preserve"> + H</w:t>
      </w:r>
      <w:r>
        <w:rPr>
          <w:color w:val="000000"/>
          <w:sz w:val="24"/>
          <w:szCs w:val="24"/>
          <w:vertAlign w:val="subscript"/>
        </w:rPr>
        <w:t>2</w:t>
      </w:r>
      <w:r>
        <w:rPr>
          <w:color w:val="000000"/>
          <w:sz w:val="24"/>
          <w:szCs w:val="24"/>
        </w:rPr>
        <w:t>O</w:t>
      </w:r>
    </w:p>
    <w:p>
      <w:pPr>
        <w:spacing w:line="384" w:lineRule="auto"/>
        <w:ind w:firstLine="480" w:firstLineChars="200"/>
        <w:jc w:val="center"/>
        <w:rPr>
          <w:color w:val="000000"/>
          <w:sz w:val="24"/>
          <w:szCs w:val="24"/>
        </w:rPr>
      </w:pPr>
      <w:r>
        <w:rPr>
          <w:color w:val="000000"/>
          <w:sz w:val="24"/>
          <w:szCs w:val="24"/>
        </w:rPr>
        <w:t>5ZnSO</w:t>
      </w:r>
      <w:r>
        <w:rPr>
          <w:color w:val="000000"/>
          <w:sz w:val="24"/>
          <w:szCs w:val="24"/>
          <w:vertAlign w:val="subscript"/>
        </w:rPr>
        <w:t>4</w:t>
      </w:r>
      <w:r>
        <w:rPr>
          <w:color w:val="000000"/>
          <w:sz w:val="24"/>
          <w:szCs w:val="24"/>
        </w:rPr>
        <w:t xml:space="preserve"> + 10NH</w:t>
      </w:r>
      <w:r>
        <w:rPr>
          <w:color w:val="000000"/>
          <w:sz w:val="24"/>
          <w:szCs w:val="24"/>
          <w:vertAlign w:val="subscript"/>
        </w:rPr>
        <w:t>4</w:t>
      </w:r>
      <w:r>
        <w:rPr>
          <w:color w:val="000000"/>
          <w:sz w:val="24"/>
          <w:szCs w:val="24"/>
        </w:rPr>
        <w:t>HCO</w:t>
      </w:r>
      <w:r>
        <w:rPr>
          <w:color w:val="000000"/>
          <w:sz w:val="24"/>
          <w:szCs w:val="24"/>
          <w:vertAlign w:val="subscript"/>
        </w:rPr>
        <w:t>3</w:t>
      </w:r>
      <w:r>
        <w:rPr>
          <w:color w:val="000000"/>
          <w:sz w:val="24"/>
          <w:szCs w:val="24"/>
        </w:rPr>
        <w:t xml:space="preserve"> = Zn</w:t>
      </w:r>
      <w:r>
        <w:rPr>
          <w:color w:val="000000"/>
          <w:sz w:val="24"/>
          <w:szCs w:val="24"/>
          <w:vertAlign w:val="subscript"/>
        </w:rPr>
        <w:t>5</w:t>
      </w:r>
      <w:r>
        <w:rPr>
          <w:color w:val="000000"/>
          <w:sz w:val="24"/>
          <w:szCs w:val="24"/>
        </w:rPr>
        <w:t>(CO</w:t>
      </w:r>
      <w:r>
        <w:rPr>
          <w:color w:val="000000"/>
          <w:sz w:val="24"/>
          <w:szCs w:val="24"/>
          <w:vertAlign w:val="subscript"/>
        </w:rPr>
        <w:t>3</w:t>
      </w:r>
      <w:r>
        <w:rPr>
          <w:color w:val="000000"/>
          <w:sz w:val="24"/>
          <w:szCs w:val="24"/>
        </w:rPr>
        <w:t>)</w:t>
      </w:r>
      <w:r>
        <w:rPr>
          <w:color w:val="000000"/>
          <w:sz w:val="24"/>
          <w:szCs w:val="24"/>
          <w:vertAlign w:val="subscript"/>
        </w:rPr>
        <w:t>2</w:t>
      </w:r>
      <w:r>
        <w:rPr>
          <w:color w:val="000000"/>
          <w:sz w:val="24"/>
          <w:szCs w:val="24"/>
        </w:rPr>
        <w:t>(OH)</w:t>
      </w:r>
      <w:r>
        <w:rPr>
          <w:color w:val="000000"/>
          <w:sz w:val="24"/>
          <w:szCs w:val="24"/>
          <w:vertAlign w:val="subscript"/>
        </w:rPr>
        <w:t xml:space="preserve">6 </w:t>
      </w:r>
      <w:r>
        <w:rPr>
          <w:color w:val="000000"/>
          <w:sz w:val="24"/>
          <w:szCs w:val="24"/>
        </w:rPr>
        <w:t>+ 8CO</w:t>
      </w:r>
      <w:r>
        <w:rPr>
          <w:color w:val="000000"/>
          <w:sz w:val="24"/>
          <w:szCs w:val="24"/>
          <w:vertAlign w:val="subscript"/>
        </w:rPr>
        <w:t>2</w:t>
      </w:r>
      <w:r>
        <w:rPr>
          <w:rFonts w:hint="eastAsia"/>
          <w:color w:val="000000"/>
          <w:sz w:val="24"/>
          <w:szCs w:val="24"/>
        </w:rPr>
        <w:t>↑</w:t>
      </w:r>
      <w:r>
        <w:rPr>
          <w:color w:val="000000"/>
          <w:sz w:val="24"/>
          <w:szCs w:val="24"/>
        </w:rPr>
        <w:t xml:space="preserve"> + 5(NH</w:t>
      </w:r>
      <w:r>
        <w:rPr>
          <w:color w:val="000000"/>
          <w:sz w:val="24"/>
          <w:szCs w:val="24"/>
          <w:vertAlign w:val="subscript"/>
        </w:rPr>
        <w:t>4</w:t>
      </w:r>
      <w:r>
        <w:rPr>
          <w:color w:val="000000"/>
          <w:sz w:val="24"/>
          <w:szCs w:val="24"/>
        </w:rPr>
        <w:t>)</w:t>
      </w:r>
      <w:r>
        <w:rPr>
          <w:color w:val="000000"/>
          <w:sz w:val="24"/>
          <w:szCs w:val="24"/>
          <w:vertAlign w:val="subscript"/>
        </w:rPr>
        <w:t>2</w:t>
      </w:r>
      <w:r>
        <w:rPr>
          <w:color w:val="000000"/>
          <w:sz w:val="24"/>
          <w:szCs w:val="24"/>
        </w:rPr>
        <w:t>SO</w:t>
      </w:r>
      <w:r>
        <w:rPr>
          <w:color w:val="000000"/>
          <w:sz w:val="24"/>
          <w:szCs w:val="24"/>
          <w:vertAlign w:val="subscript"/>
        </w:rPr>
        <w:t>4</w:t>
      </w:r>
      <w:r>
        <w:rPr>
          <w:color w:val="000000"/>
          <w:sz w:val="24"/>
          <w:szCs w:val="24"/>
        </w:rPr>
        <w:t xml:space="preserve"> + 2H</w:t>
      </w:r>
      <w:r>
        <w:rPr>
          <w:color w:val="000000"/>
          <w:sz w:val="24"/>
          <w:szCs w:val="24"/>
          <w:vertAlign w:val="subscript"/>
        </w:rPr>
        <w:t>2</w:t>
      </w:r>
      <w:r>
        <w:rPr>
          <w:color w:val="000000"/>
          <w:sz w:val="24"/>
          <w:szCs w:val="24"/>
        </w:rPr>
        <w:t>O</w:t>
      </w:r>
    </w:p>
    <w:p>
      <w:pPr>
        <w:spacing w:line="384" w:lineRule="auto"/>
        <w:ind w:firstLine="480" w:firstLineChars="200"/>
        <w:jc w:val="center"/>
        <w:rPr>
          <w:color w:val="000000"/>
          <w:sz w:val="24"/>
          <w:szCs w:val="24"/>
        </w:rPr>
      </w:pPr>
      <w:r>
        <w:rPr>
          <w:color w:val="000000"/>
          <w:sz w:val="24"/>
          <w:szCs w:val="24"/>
        </w:rPr>
        <w:t>Zn</w:t>
      </w:r>
      <w:r>
        <w:rPr>
          <w:color w:val="000000"/>
          <w:sz w:val="24"/>
          <w:szCs w:val="24"/>
          <w:vertAlign w:val="subscript"/>
        </w:rPr>
        <w:t>5</w:t>
      </w:r>
      <w:r>
        <w:rPr>
          <w:color w:val="000000"/>
          <w:sz w:val="24"/>
          <w:szCs w:val="24"/>
        </w:rPr>
        <w:t>(CO</w:t>
      </w:r>
      <w:r>
        <w:rPr>
          <w:color w:val="000000"/>
          <w:sz w:val="24"/>
          <w:szCs w:val="24"/>
          <w:vertAlign w:val="subscript"/>
        </w:rPr>
        <w:t>3</w:t>
      </w:r>
      <w:r>
        <w:rPr>
          <w:color w:val="000000"/>
          <w:sz w:val="24"/>
          <w:szCs w:val="24"/>
        </w:rPr>
        <w:t>)</w:t>
      </w:r>
      <w:r>
        <w:rPr>
          <w:color w:val="000000"/>
          <w:sz w:val="24"/>
          <w:szCs w:val="24"/>
          <w:vertAlign w:val="subscript"/>
        </w:rPr>
        <w:t>2</w:t>
      </w:r>
      <w:r>
        <w:rPr>
          <w:color w:val="000000"/>
          <w:sz w:val="24"/>
          <w:szCs w:val="24"/>
        </w:rPr>
        <w:t>(OH)</w:t>
      </w:r>
      <w:r>
        <w:rPr>
          <w:color w:val="000000"/>
          <w:sz w:val="24"/>
          <w:szCs w:val="24"/>
          <w:vertAlign w:val="subscript"/>
        </w:rPr>
        <w:t>6</w:t>
      </w:r>
      <w:r>
        <w:rPr>
          <w:color w:val="000000"/>
          <w:sz w:val="24"/>
          <w:szCs w:val="24"/>
        </w:rPr>
        <w:t xml:space="preserve"> = 5ZnO + 3H</w:t>
      </w:r>
      <w:r>
        <w:rPr>
          <w:color w:val="000000"/>
          <w:sz w:val="24"/>
          <w:szCs w:val="24"/>
          <w:vertAlign w:val="subscript"/>
        </w:rPr>
        <w:t>2</w:t>
      </w:r>
      <w:r>
        <w:rPr>
          <w:color w:val="000000"/>
          <w:sz w:val="24"/>
          <w:szCs w:val="24"/>
        </w:rPr>
        <w:t>O + 2CO</w:t>
      </w:r>
      <w:r>
        <w:rPr>
          <w:color w:val="000000"/>
          <w:sz w:val="24"/>
          <w:szCs w:val="24"/>
          <w:vertAlign w:val="subscript"/>
        </w:rPr>
        <w:t>2</w:t>
      </w:r>
      <w:r>
        <w:rPr>
          <w:rFonts w:hint="eastAsia"/>
          <w:color w:val="000000"/>
          <w:sz w:val="24"/>
          <w:szCs w:val="24"/>
        </w:rPr>
        <w:t>↑</w:t>
      </w:r>
    </w:p>
    <w:p>
      <w:pPr>
        <w:spacing w:line="384" w:lineRule="auto"/>
        <w:ind w:firstLine="480" w:firstLineChars="200"/>
        <w:rPr>
          <w:rFonts w:hint="eastAsia"/>
          <w:color w:val="000000"/>
          <w:sz w:val="24"/>
          <w:szCs w:val="24"/>
        </w:rPr>
      </w:pPr>
      <w:r>
        <w:rPr>
          <w:sz w:val="24"/>
        </w:rPr>
        <w:pict>
          <v:shape id="_x0000_s1386" o:spid="_x0000_s1386" o:spt="202" type="#_x0000_t202" style="position:absolute;left:0pt;margin-left:7.8pt;margin-top:194.1pt;height:406.45pt;width:451.4pt;z-index:251659264;mso-width-relative:page;mso-height-relative:page;" fillcolor="#FFFFFF" filled="t" stroked="t" coordsize="21600,21600">
            <v:path/>
            <v:fill on="t" color2="#FFFFFF" focussize="0,0"/>
            <v:stroke color="#FFFFFF"/>
            <v:imagedata o:title=""/>
            <o:lock v:ext="edit" aspectratio="f"/>
            <v:textbox>
              <w:txbxContent>
                <w:p>
                  <w:pPr>
                    <w:ind w:left="0" w:leftChars="0" w:firstLine="0" w:firstLineChars="0"/>
                  </w:pPr>
                </w:p>
              </w:txbxContent>
            </v:textbox>
          </v:shape>
        </w:pict>
      </w:r>
      <w:r>
        <w:rPr>
          <w:rFonts w:hint="eastAsia"/>
          <w:color w:val="000000"/>
          <w:sz w:val="24"/>
          <w:szCs w:val="24"/>
        </w:rPr>
        <w:t>浓硫酸首先进行稀释后和次氧化锌反应（</w:t>
      </w:r>
      <w:r>
        <w:rPr>
          <w:color w:val="000000"/>
          <w:sz w:val="24"/>
          <w:szCs w:val="24"/>
        </w:rPr>
        <w:t>70～80</w:t>
      </w:r>
      <w:r>
        <w:rPr>
          <w:rFonts w:hint="eastAsia"/>
          <w:color w:val="000000"/>
          <w:sz w:val="24"/>
          <w:szCs w:val="24"/>
        </w:rPr>
        <w:t>℃的温度反应），生成硫酸锌溶液，溶液经过分离后进入净化槽，在净化槽中加入锌粉和高锰酸钾，常温状态下除去杂质锰、铁，制成精品硫酸锌溶液，用泵泵入铵化槽，在槽内投加碳酸氢铵，将温度升高至80℃进行反应，生成碱式碳酸锌和硫酸铵溶液，统一输送至板框压滤机进行分离，碱式碳酸锌固体再送至干燥车间进行干燥，干燥后的固体送至煅烧炉内煅烧成纳米氧化锌成品，进料仓后包装送成品仓库。压滤分离出的硫酸铵液体经蒸发成为硫酸铵固体，分离包装后送成品仓库。具体工艺流程和污染分布图如图</w:t>
      </w:r>
      <w:r>
        <w:rPr>
          <w:rFonts w:hint="eastAsia"/>
          <w:color w:val="000000"/>
          <w:sz w:val="24"/>
          <w:szCs w:val="24"/>
          <w:lang w:val="en-US" w:eastAsia="zh-CN"/>
        </w:rPr>
        <w:t>2.2.3-1</w:t>
      </w:r>
      <w:r>
        <w:rPr>
          <w:rFonts w:hint="eastAsia"/>
          <w:color w:val="000000"/>
          <w:sz w:val="24"/>
          <w:szCs w:val="24"/>
        </w:rPr>
        <w:t>所示。</w:t>
      </w: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left="0" w:leftChars="0" w:firstLine="0" w:firstLineChars="0"/>
        <w:rPr>
          <w:rFonts w:hint="eastAsia"/>
          <w:color w:val="000000"/>
          <w:sz w:val="24"/>
          <w:szCs w:val="24"/>
        </w:rPr>
      </w:pPr>
      <w:r>
        <w:drawing>
          <wp:inline distT="0" distB="0" distL="114300" distR="114300">
            <wp:extent cx="5606415" cy="5337810"/>
            <wp:effectExtent l="0" t="0" r="13335" b="1524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1"/>
                    <a:stretch>
                      <a:fillRect/>
                    </a:stretch>
                  </pic:blipFill>
                  <pic:spPr>
                    <a:xfrm>
                      <a:off x="0" y="0"/>
                      <a:ext cx="5606415" cy="5337810"/>
                    </a:xfrm>
                    <a:prstGeom prst="rect">
                      <a:avLst/>
                    </a:prstGeom>
                    <a:noFill/>
                    <a:ln w="9525">
                      <a:noFill/>
                    </a:ln>
                  </pic:spPr>
                </pic:pic>
              </a:graphicData>
            </a:graphic>
          </wp:inline>
        </w:drawing>
      </w:r>
    </w:p>
    <w:p>
      <w:pPr>
        <w:spacing w:line="384" w:lineRule="auto"/>
        <w:rPr>
          <w:rFonts w:hint="eastAsia"/>
          <w:color w:val="000000"/>
          <w:sz w:val="24"/>
          <w:szCs w:val="24"/>
        </w:rPr>
      </w:pPr>
    </w:p>
    <w:p>
      <w:pPr>
        <w:spacing w:line="384" w:lineRule="auto"/>
        <w:ind w:left="0" w:leftChars="0" w:firstLine="2160" w:firstLineChars="900"/>
        <w:rPr>
          <w:rFonts w:hint="eastAsia"/>
          <w:color w:val="000000"/>
          <w:sz w:val="24"/>
          <w:szCs w:val="24"/>
        </w:rPr>
      </w:pPr>
      <w:r>
        <w:rPr>
          <w:rFonts w:hint="eastAsia"/>
          <w:color w:val="000000"/>
          <w:sz w:val="24"/>
          <w:szCs w:val="24"/>
          <w:lang w:eastAsia="zh-CN"/>
        </w:rPr>
        <w:t>图</w:t>
      </w:r>
      <w:r>
        <w:rPr>
          <w:rFonts w:hint="eastAsia"/>
          <w:color w:val="000000"/>
          <w:sz w:val="24"/>
          <w:szCs w:val="24"/>
          <w:lang w:val="en-US" w:eastAsia="zh-CN"/>
        </w:rPr>
        <w:t>2.2.3-1  纳米氧化锌工艺流程及污染源分布图</w:t>
      </w: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firstLine="480" w:firstLineChars="200"/>
        <w:rPr>
          <w:rFonts w:hint="eastAsia"/>
          <w:color w:val="000000"/>
          <w:sz w:val="24"/>
          <w:szCs w:val="24"/>
        </w:rPr>
      </w:pPr>
    </w:p>
    <w:p>
      <w:pPr>
        <w:spacing w:line="384" w:lineRule="auto"/>
        <w:ind w:left="0" w:leftChars="0" w:firstLine="0" w:firstLineChars="0"/>
        <w:rPr>
          <w:rFonts w:hint="eastAsia"/>
          <w:color w:val="000000"/>
          <w:sz w:val="24"/>
          <w:szCs w:val="24"/>
        </w:rPr>
      </w:pPr>
    </w:p>
    <w:p>
      <w:pPr>
        <w:numPr>
          <w:ilvl w:val="0"/>
          <w:numId w:val="0"/>
        </w:numPr>
        <w:autoSpaceDE w:val="0"/>
        <w:autoSpaceDN w:val="0"/>
        <w:adjustRightInd w:val="0"/>
        <w:snapToGrid w:val="0"/>
        <w:spacing w:line="384" w:lineRule="auto"/>
        <w:ind w:leftChars="300" w:right="280" w:rightChars="100"/>
        <w:textAlignment w:val="baseline"/>
        <w:rPr>
          <w:rFonts w:hint="eastAsia" w:eastAsia="黑体"/>
          <w:color w:val="000000"/>
          <w:sz w:val="24"/>
        </w:rPr>
      </w:pPr>
      <w:r>
        <w:rPr>
          <w:rFonts w:hint="eastAsia" w:eastAsia="黑体"/>
          <w:color w:val="000000"/>
          <w:sz w:val="24"/>
          <w:lang w:val="en-US" w:eastAsia="zh-CN"/>
        </w:rPr>
        <w:t>2.2.3-2</w:t>
      </w:r>
      <w:r>
        <w:rPr>
          <w:rFonts w:hint="eastAsia" w:eastAsia="黑体"/>
          <w:color w:val="000000"/>
          <w:sz w:val="24"/>
        </w:rPr>
        <w:t xml:space="preserve"> 氯化锌生产工艺流程</w:t>
      </w:r>
    </w:p>
    <w:p>
      <w:pPr>
        <w:spacing w:line="384" w:lineRule="auto"/>
        <w:ind w:firstLine="480" w:firstLineChars="200"/>
        <w:rPr>
          <w:rFonts w:hint="eastAsia"/>
          <w:color w:val="000000"/>
          <w:sz w:val="24"/>
          <w:szCs w:val="24"/>
        </w:rPr>
      </w:pPr>
      <w:r>
        <w:rPr>
          <w:rFonts w:hint="eastAsia"/>
          <w:color w:val="000000"/>
          <w:sz w:val="24"/>
          <w:szCs w:val="24"/>
        </w:rPr>
        <w:t>主要化学反应:</w:t>
      </w:r>
      <w:r>
        <w:rPr>
          <w:color w:val="000000"/>
          <w:sz w:val="24"/>
          <w:szCs w:val="24"/>
        </w:rPr>
        <w:t xml:space="preserve">            </w:t>
      </w:r>
    </w:p>
    <w:p>
      <w:pPr>
        <w:spacing w:line="384" w:lineRule="auto"/>
        <w:ind w:firstLine="480" w:firstLineChars="200"/>
        <w:jc w:val="center"/>
        <w:rPr>
          <w:rFonts w:hint="eastAsia"/>
          <w:color w:val="000000"/>
          <w:sz w:val="24"/>
          <w:szCs w:val="24"/>
        </w:rPr>
      </w:pPr>
      <w:r>
        <w:rPr>
          <w:rFonts w:hint="eastAsia"/>
          <w:color w:val="000000"/>
          <w:sz w:val="24"/>
          <w:szCs w:val="24"/>
        </w:rPr>
        <w:t>2HCl+ Z</w:t>
      </w:r>
      <w:r>
        <w:rPr>
          <w:color w:val="000000"/>
          <w:sz w:val="24"/>
          <w:szCs w:val="24"/>
        </w:rPr>
        <w:t>n</w:t>
      </w:r>
      <w:r>
        <w:rPr>
          <w:rFonts w:hint="eastAsia"/>
          <w:color w:val="000000"/>
          <w:sz w:val="24"/>
          <w:szCs w:val="24"/>
        </w:rPr>
        <w:t>O</w:t>
      </w:r>
      <w:r>
        <w:rPr>
          <w:color w:val="000000"/>
          <w:sz w:val="24"/>
          <w:szCs w:val="24"/>
        </w:rPr>
        <w:t xml:space="preserve"> = Zn</w:t>
      </w:r>
      <w:r>
        <w:rPr>
          <w:rFonts w:hint="eastAsia"/>
          <w:color w:val="000000"/>
          <w:sz w:val="24"/>
          <w:szCs w:val="24"/>
        </w:rPr>
        <w:t>Cl</w:t>
      </w:r>
      <w:r>
        <w:rPr>
          <w:rFonts w:hint="eastAsia"/>
          <w:color w:val="000000"/>
          <w:sz w:val="24"/>
          <w:szCs w:val="24"/>
          <w:vertAlign w:val="subscript"/>
        </w:rPr>
        <w:t>2</w:t>
      </w:r>
      <w:r>
        <w:rPr>
          <w:color w:val="000000"/>
          <w:sz w:val="24"/>
          <w:szCs w:val="24"/>
        </w:rPr>
        <w:t xml:space="preserve"> + H</w:t>
      </w:r>
      <w:r>
        <w:rPr>
          <w:color w:val="000000"/>
          <w:sz w:val="24"/>
          <w:szCs w:val="24"/>
          <w:vertAlign w:val="subscript"/>
        </w:rPr>
        <w:t>2</w:t>
      </w:r>
      <w:r>
        <w:rPr>
          <w:rFonts w:hint="eastAsia"/>
          <w:color w:val="000000"/>
          <w:sz w:val="24"/>
          <w:szCs w:val="24"/>
        </w:rPr>
        <w:t>O</w:t>
      </w:r>
    </w:p>
    <w:p>
      <w:pPr>
        <w:numPr>
          <w:ilvl w:val="0"/>
          <w:numId w:val="2"/>
        </w:numPr>
        <w:snapToGrid w:val="0"/>
        <w:spacing w:line="384" w:lineRule="auto"/>
        <w:ind w:firstLine="480" w:firstLineChars="200"/>
        <w:rPr>
          <w:rFonts w:hint="eastAsia"/>
          <w:color w:val="000000"/>
          <w:sz w:val="24"/>
          <w:szCs w:val="24"/>
        </w:rPr>
      </w:pPr>
      <w:r>
        <w:rPr>
          <w:sz w:val="24"/>
        </w:rPr>
        <w:pict>
          <v:shape id="_x0000_s1387" o:spid="_x0000_s1387" o:spt="202" type="#_x0000_t202" style="position:absolute;left:0pt;margin-left:33.25pt;margin-top:265.85pt;height:324.8pt;width:420pt;z-index:251660288;mso-width-relative:page;mso-height-relative:page;" fillcolor="#FFFFFF" filled="t" stroked="t" coordsize="21600,21600">
            <v:path/>
            <v:fill on="t" color2="#FFFFFF" focussize="0,0"/>
            <v:stroke color="#FFFFFF" joinstyle="miter"/>
            <v:imagedata o:title=""/>
            <o:lock v:ext="edit" aspectratio="f"/>
            <v:textbox inset="0mm,0mm,0mm,0mm">
              <w:txbxContent>
                <w:p>
                  <w:pPr>
                    <w:ind w:left="0" w:leftChars="0" w:firstLine="0" w:firstLineChars="0"/>
                  </w:pPr>
                  <w:r>
                    <w:drawing>
                      <wp:inline distT="0" distB="0" distL="114300" distR="114300">
                        <wp:extent cx="4912995" cy="4091305"/>
                        <wp:effectExtent l="0" t="0" r="1905" b="444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12"/>
                                <a:stretch>
                                  <a:fillRect/>
                                </a:stretch>
                              </pic:blipFill>
                              <pic:spPr>
                                <a:xfrm>
                                  <a:off x="0" y="0"/>
                                  <a:ext cx="4912995" cy="4091305"/>
                                </a:xfrm>
                                <a:prstGeom prst="rect">
                                  <a:avLst/>
                                </a:prstGeom>
                                <a:noFill/>
                                <a:ln w="9525">
                                  <a:noFill/>
                                </a:ln>
                              </pic:spPr>
                            </pic:pic>
                          </a:graphicData>
                        </a:graphic>
                      </wp:inline>
                    </w:drawing>
                  </w:r>
                </w:p>
              </w:txbxContent>
            </v:textbox>
          </v:shape>
        </w:pict>
      </w:r>
      <w:r>
        <w:rPr>
          <w:rFonts w:hint="eastAsia"/>
          <w:color w:val="000000"/>
          <w:sz w:val="24"/>
          <w:szCs w:val="24"/>
        </w:rPr>
        <w:t>浸出工序：将稀盐酸和次氧化锌加入到反应釜（萃取槽）中，稀盐酸与原料中的锌等组分发生反应，溶解进入溶液，为除去溶液中的铁，适时加入氯酸钾，将二价铁氧化为三价铁，经水解后形成絮凝体，与次氧化锌中的杂质一起沉淀析出。控制温度70</w:t>
      </w:r>
      <w:r>
        <w:rPr>
          <w:color w:val="000000"/>
          <w:sz w:val="24"/>
          <w:szCs w:val="24"/>
        </w:rPr>
        <w:t>～</w:t>
      </w:r>
      <w:r>
        <w:rPr>
          <w:rFonts w:hint="eastAsia"/>
          <w:color w:val="000000"/>
          <w:sz w:val="24"/>
          <w:szCs w:val="24"/>
        </w:rPr>
        <w:t>95℃，pH3.2</w:t>
      </w:r>
      <w:r>
        <w:rPr>
          <w:color w:val="000000"/>
          <w:sz w:val="24"/>
          <w:szCs w:val="24"/>
        </w:rPr>
        <w:t>～</w:t>
      </w:r>
      <w:r>
        <w:rPr>
          <w:rFonts w:hint="eastAsia"/>
          <w:color w:val="000000"/>
          <w:sz w:val="24"/>
          <w:szCs w:val="24"/>
        </w:rPr>
        <w:t>3.8，最终pH3.5</w:t>
      </w:r>
      <w:r>
        <w:rPr>
          <w:color w:val="000000"/>
          <w:sz w:val="24"/>
          <w:szCs w:val="24"/>
        </w:rPr>
        <w:t>～</w:t>
      </w:r>
      <w:r>
        <w:rPr>
          <w:rFonts w:hint="eastAsia"/>
          <w:color w:val="000000"/>
          <w:sz w:val="24"/>
          <w:szCs w:val="24"/>
        </w:rPr>
        <w:t>4。反应后的溶液进入中转池，上清液进入净化工序。（2）净化工序：加入适量的高锰酸钾，将溶液中少量的Fe</w:t>
      </w:r>
      <w:r>
        <w:rPr>
          <w:rFonts w:hint="eastAsia"/>
          <w:color w:val="000000"/>
          <w:sz w:val="24"/>
          <w:szCs w:val="24"/>
          <w:vertAlign w:val="superscript"/>
        </w:rPr>
        <w:t>2+</w:t>
      </w:r>
      <w:r>
        <w:rPr>
          <w:rFonts w:hint="eastAsia"/>
          <w:color w:val="000000"/>
          <w:sz w:val="24"/>
          <w:szCs w:val="24"/>
        </w:rPr>
        <w:t>进一步氧化成Fe</w:t>
      </w:r>
      <w:r>
        <w:rPr>
          <w:rFonts w:hint="eastAsia"/>
          <w:color w:val="000000"/>
          <w:sz w:val="24"/>
          <w:szCs w:val="24"/>
          <w:vertAlign w:val="superscript"/>
        </w:rPr>
        <w:t>3+</w:t>
      </w:r>
      <w:r>
        <w:rPr>
          <w:rFonts w:hint="eastAsia"/>
          <w:color w:val="000000"/>
          <w:sz w:val="24"/>
          <w:szCs w:val="24"/>
        </w:rPr>
        <w:t>，并除去溶液中的Mn</w:t>
      </w:r>
      <w:r>
        <w:rPr>
          <w:rFonts w:hint="eastAsia"/>
          <w:color w:val="000000"/>
          <w:sz w:val="24"/>
          <w:szCs w:val="24"/>
          <w:vertAlign w:val="superscript"/>
        </w:rPr>
        <w:t>2+</w:t>
      </w:r>
      <w:r>
        <w:rPr>
          <w:rFonts w:hint="eastAsia"/>
          <w:color w:val="000000"/>
          <w:sz w:val="24"/>
          <w:szCs w:val="24"/>
        </w:rPr>
        <w:t>。控制反应温度55</w:t>
      </w:r>
      <w:r>
        <w:rPr>
          <w:color w:val="000000"/>
          <w:sz w:val="24"/>
          <w:szCs w:val="24"/>
        </w:rPr>
        <w:t>～</w:t>
      </w:r>
      <w:r>
        <w:rPr>
          <w:rFonts w:hint="eastAsia"/>
          <w:color w:val="000000"/>
          <w:sz w:val="24"/>
          <w:szCs w:val="24"/>
        </w:rPr>
        <w:t>65℃，pH3.5</w:t>
      </w:r>
      <w:r>
        <w:rPr>
          <w:color w:val="000000"/>
          <w:sz w:val="24"/>
          <w:szCs w:val="24"/>
        </w:rPr>
        <w:t>～</w:t>
      </w:r>
      <w:r>
        <w:rPr>
          <w:rFonts w:hint="eastAsia"/>
          <w:color w:val="000000"/>
          <w:sz w:val="24"/>
          <w:szCs w:val="24"/>
        </w:rPr>
        <w:t>3.8。经板框压滤后，溶液进入提纯槽中，利用活泼金属锌粉来置换溶液中的不活泼金属（贵重金属）离子，使其沉淀除去，提纯后的溶液经压滤后进入成品液池。（3）浓缩结晶工序：利用物质的气化点不同加热使氯化锌中的水份蒸发干净而使氯化锌浓缩成稠密液态顺石墨板流入搅拌，随着搅拌的破碎、冷凝而结晶成白色粉末氯化锌产品。具体工艺流程和污染分布图如图</w:t>
      </w:r>
      <w:r>
        <w:rPr>
          <w:rFonts w:hint="eastAsia"/>
          <w:color w:val="000000"/>
          <w:sz w:val="24"/>
          <w:szCs w:val="24"/>
          <w:lang w:val="en-US" w:eastAsia="zh-CN"/>
        </w:rPr>
        <w:t>2.2.</w:t>
      </w:r>
      <w:r>
        <w:rPr>
          <w:rFonts w:hint="eastAsia"/>
          <w:color w:val="000000"/>
          <w:sz w:val="24"/>
          <w:szCs w:val="24"/>
        </w:rPr>
        <w:t>3</w:t>
      </w:r>
      <w:r>
        <w:rPr>
          <w:rFonts w:hint="eastAsia"/>
          <w:color w:val="000000"/>
          <w:sz w:val="24"/>
          <w:szCs w:val="24"/>
          <w:lang w:val="en-US" w:eastAsia="zh-CN"/>
        </w:rPr>
        <w:t>-</w:t>
      </w:r>
      <w:r>
        <w:rPr>
          <w:rFonts w:hint="eastAsia"/>
          <w:color w:val="000000"/>
          <w:sz w:val="24"/>
          <w:szCs w:val="24"/>
        </w:rPr>
        <w:t>2所示。</w:t>
      </w:r>
    </w:p>
    <w:p>
      <w:pPr>
        <w:numPr>
          <w:ilvl w:val="0"/>
          <w:numId w:val="0"/>
        </w:numPr>
        <w:snapToGrid w:val="0"/>
        <w:spacing w:line="384" w:lineRule="auto"/>
        <w:ind w:leftChars="300" w:right="280" w:rightChars="100"/>
        <w:rPr>
          <w:rFonts w:hint="eastAsia"/>
          <w:color w:val="000000"/>
          <w:sz w:val="24"/>
          <w:szCs w:val="24"/>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color w:val="FF0000"/>
          <w:szCs w:val="28"/>
        </w:rPr>
      </w:pPr>
    </w:p>
    <w:p>
      <w:pPr>
        <w:spacing w:line="384" w:lineRule="auto"/>
        <w:ind w:left="0" w:leftChars="0" w:firstLine="2160" w:firstLineChars="900"/>
        <w:rPr>
          <w:rFonts w:hint="eastAsia"/>
          <w:color w:val="000000"/>
          <w:sz w:val="24"/>
          <w:szCs w:val="24"/>
          <w:lang w:eastAsia="zh-CN"/>
        </w:rPr>
      </w:pPr>
    </w:p>
    <w:p>
      <w:pPr>
        <w:spacing w:line="384" w:lineRule="auto"/>
        <w:ind w:left="0" w:leftChars="0" w:firstLine="2160" w:firstLineChars="900"/>
        <w:rPr>
          <w:rFonts w:hint="eastAsia" w:eastAsia="仿宋_GB2312"/>
          <w:color w:val="000000"/>
          <w:sz w:val="24"/>
          <w:szCs w:val="24"/>
          <w:lang w:val="en-US" w:eastAsia="zh-CN"/>
        </w:rPr>
      </w:pPr>
      <w:r>
        <w:rPr>
          <w:rFonts w:hint="eastAsia"/>
          <w:color w:val="000000"/>
          <w:sz w:val="24"/>
          <w:szCs w:val="24"/>
          <w:lang w:eastAsia="zh-CN"/>
        </w:rPr>
        <w:t>图</w:t>
      </w:r>
      <w:r>
        <w:rPr>
          <w:rFonts w:hint="eastAsia"/>
          <w:color w:val="000000"/>
          <w:sz w:val="24"/>
          <w:szCs w:val="24"/>
          <w:lang w:val="en-US" w:eastAsia="zh-CN"/>
        </w:rPr>
        <w:t>2.2.3-2  氯化锌工艺流程及污染源分布图</w:t>
      </w:r>
    </w:p>
    <w:p>
      <w:pPr>
        <w:spacing w:line="500" w:lineRule="exact"/>
        <w:ind w:left="0" w:leftChars="0" w:right="280" w:firstLine="0" w:firstLineChars="0"/>
        <w:rPr>
          <w:rFonts w:ascii="仿宋" w:hAnsi="仿宋" w:eastAsia="仿宋"/>
          <w:color w:val="FF0000"/>
          <w:szCs w:val="28"/>
        </w:rPr>
      </w:pPr>
    </w:p>
    <w:p>
      <w:pPr>
        <w:spacing w:line="500" w:lineRule="exact"/>
        <w:ind w:leftChars="0" w:right="280" w:firstLine="0" w:firstLineChars="0"/>
        <w:rPr>
          <w:rFonts w:ascii="仿宋" w:hAnsi="仿宋" w:eastAsia="仿宋"/>
          <w:b/>
          <w:szCs w:val="28"/>
          <w:highlight w:val="none"/>
        </w:rPr>
      </w:pPr>
      <w:r>
        <w:rPr>
          <w:rFonts w:ascii="仿宋" w:hAnsi="仿宋" w:eastAsia="仿宋"/>
          <w:b/>
          <w:szCs w:val="28"/>
          <w:highlight w:val="none"/>
        </w:rPr>
        <w:t>2.2.</w:t>
      </w:r>
      <w:r>
        <w:rPr>
          <w:rFonts w:hint="eastAsia" w:ascii="仿宋" w:hAnsi="仿宋" w:eastAsia="仿宋"/>
          <w:b/>
          <w:szCs w:val="28"/>
          <w:highlight w:val="none"/>
        </w:rPr>
        <w:t>3</w:t>
      </w:r>
      <w:r>
        <w:rPr>
          <w:rFonts w:ascii="仿宋" w:hAnsi="仿宋" w:eastAsia="仿宋"/>
          <w:b/>
          <w:szCs w:val="28"/>
          <w:highlight w:val="none"/>
        </w:rPr>
        <w:t>.2主要设备</w:t>
      </w:r>
      <w:r>
        <w:rPr>
          <w:rFonts w:hint="eastAsia" w:ascii="仿宋" w:hAnsi="仿宋" w:eastAsia="仿宋"/>
          <w:b/>
          <w:szCs w:val="28"/>
          <w:highlight w:val="none"/>
          <w:lang w:eastAsia="zh-CN"/>
        </w:rPr>
        <w:t>、设施</w:t>
      </w:r>
      <w:r>
        <w:rPr>
          <w:rFonts w:ascii="仿宋" w:hAnsi="仿宋" w:eastAsia="仿宋"/>
          <w:b/>
          <w:szCs w:val="28"/>
          <w:highlight w:val="none"/>
        </w:rPr>
        <w:t>清单</w:t>
      </w:r>
      <w:bookmarkEnd w:id="123"/>
    </w:p>
    <w:p>
      <w:pPr>
        <w:spacing w:line="500" w:lineRule="exact"/>
        <w:ind w:leftChars="0" w:right="280" w:firstLine="0" w:firstLineChars="0"/>
        <w:rPr>
          <w:rFonts w:hint="eastAsia" w:ascii="仿宋" w:hAnsi="仿宋" w:eastAsia="仿宋"/>
          <w:b/>
          <w:szCs w:val="28"/>
          <w:highlight w:val="none"/>
          <w:lang w:val="en-US" w:eastAsia="zh-CN"/>
        </w:rPr>
      </w:pPr>
      <w:r>
        <w:rPr>
          <w:rFonts w:hint="eastAsia" w:ascii="仿宋" w:hAnsi="仿宋" w:eastAsia="仿宋"/>
          <w:b/>
          <w:szCs w:val="28"/>
          <w:highlight w:val="none"/>
          <w:lang w:val="en-US" w:eastAsia="zh-CN"/>
        </w:rPr>
        <w:t>2.2-4纳米氧化锌设备</w:t>
      </w:r>
    </w:p>
    <w:tbl>
      <w:tblPr>
        <w:tblStyle w:val="39"/>
        <w:tblW w:w="9140"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2586"/>
        <w:gridCol w:w="2451"/>
        <w:gridCol w:w="2178"/>
        <w:gridCol w:w="1002"/>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923" w:type="dxa"/>
            <w:tcBorders>
              <w:top w:val="single" w:color="000000" w:sz="12" w:space="0"/>
              <w:bottom w:val="double" w:color="auto" w:sz="4" w:space="0"/>
            </w:tcBorders>
            <w:shd w:val="clear" w:color="auto" w:fill="auto"/>
            <w:vAlign w:val="center"/>
          </w:tcPr>
          <w:p>
            <w:pPr>
              <w:snapToGrid w:val="0"/>
              <w:ind w:left="0" w:leftChars="0" w:firstLine="0" w:firstLineChars="0"/>
              <w:jc w:val="both"/>
              <w:rPr>
                <w:color w:val="000000"/>
                <w:sz w:val="21"/>
              </w:rPr>
            </w:pPr>
            <w:r>
              <w:rPr>
                <w:color w:val="000000"/>
                <w:sz w:val="21"/>
              </w:rPr>
              <w:t>序号</w:t>
            </w:r>
          </w:p>
        </w:tc>
        <w:tc>
          <w:tcPr>
            <w:tcW w:w="2586" w:type="dxa"/>
            <w:tcBorders>
              <w:top w:val="single" w:color="000000" w:sz="12" w:space="0"/>
              <w:bottom w:val="double" w:color="auto" w:sz="4" w:space="0"/>
            </w:tcBorders>
            <w:shd w:val="clear" w:color="auto" w:fill="auto"/>
            <w:vAlign w:val="center"/>
          </w:tcPr>
          <w:p>
            <w:pPr>
              <w:snapToGrid w:val="0"/>
              <w:jc w:val="both"/>
              <w:rPr>
                <w:rFonts w:hint="eastAsia"/>
                <w:color w:val="000000"/>
                <w:sz w:val="21"/>
              </w:rPr>
            </w:pPr>
            <w:r>
              <w:rPr>
                <w:color w:val="000000"/>
                <w:sz w:val="21"/>
              </w:rPr>
              <w:t>设备</w:t>
            </w:r>
            <w:r>
              <w:rPr>
                <w:rFonts w:hint="eastAsia"/>
                <w:color w:val="000000"/>
                <w:sz w:val="21"/>
              </w:rPr>
              <w:t>名称</w:t>
            </w:r>
          </w:p>
        </w:tc>
        <w:tc>
          <w:tcPr>
            <w:tcW w:w="2451" w:type="dxa"/>
            <w:tcBorders>
              <w:top w:val="single" w:color="000000" w:sz="12" w:space="0"/>
              <w:bottom w:val="double" w:color="auto" w:sz="4" w:space="0"/>
            </w:tcBorders>
            <w:shd w:val="clear" w:color="auto" w:fill="auto"/>
            <w:vAlign w:val="center"/>
          </w:tcPr>
          <w:p>
            <w:pPr>
              <w:snapToGrid w:val="0"/>
              <w:jc w:val="both"/>
              <w:rPr>
                <w:color w:val="000000"/>
                <w:sz w:val="21"/>
              </w:rPr>
            </w:pPr>
            <w:r>
              <w:rPr>
                <w:color w:val="000000"/>
                <w:sz w:val="21"/>
              </w:rPr>
              <w:t>设备规格</w:t>
            </w:r>
          </w:p>
        </w:tc>
        <w:tc>
          <w:tcPr>
            <w:tcW w:w="2178" w:type="dxa"/>
            <w:tcBorders>
              <w:top w:val="single" w:color="000000" w:sz="12" w:space="0"/>
              <w:bottom w:val="double" w:color="auto" w:sz="4" w:space="0"/>
            </w:tcBorders>
            <w:shd w:val="clear" w:color="auto" w:fill="auto"/>
            <w:vAlign w:val="center"/>
          </w:tcPr>
          <w:p>
            <w:pPr>
              <w:snapToGrid w:val="0"/>
              <w:jc w:val="both"/>
              <w:rPr>
                <w:color w:val="000000"/>
                <w:sz w:val="21"/>
              </w:rPr>
            </w:pPr>
            <w:r>
              <w:rPr>
                <w:color w:val="000000"/>
                <w:sz w:val="21"/>
              </w:rPr>
              <w:t>材 料</w:t>
            </w:r>
          </w:p>
        </w:tc>
        <w:tc>
          <w:tcPr>
            <w:tcW w:w="1002" w:type="dxa"/>
            <w:tcBorders>
              <w:top w:val="single" w:color="000000" w:sz="12" w:space="0"/>
              <w:bottom w:val="double" w:color="auto" w:sz="4" w:space="0"/>
            </w:tcBorders>
            <w:shd w:val="clear" w:color="auto" w:fill="auto"/>
            <w:vAlign w:val="center"/>
          </w:tcPr>
          <w:p>
            <w:pPr>
              <w:snapToGrid w:val="0"/>
              <w:ind w:left="0" w:leftChars="0" w:firstLine="0" w:firstLineChars="0"/>
              <w:jc w:val="both"/>
              <w:rPr>
                <w:color w:val="000000"/>
                <w:sz w:val="21"/>
              </w:rPr>
            </w:pPr>
            <w:r>
              <w:rPr>
                <w:color w:val="000000"/>
                <w:sz w:val="21"/>
              </w:rPr>
              <w:t>数量</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923" w:type="dxa"/>
            <w:tcBorders>
              <w:top w:val="double" w:color="auto" w:sz="4" w:space="0"/>
            </w:tcBorders>
            <w:shd w:val="clear" w:color="auto" w:fill="auto"/>
            <w:vAlign w:val="center"/>
          </w:tcPr>
          <w:p>
            <w:pPr>
              <w:snapToGrid w:val="0"/>
              <w:ind w:left="0" w:leftChars="0" w:firstLine="0" w:firstLineChars="0"/>
              <w:jc w:val="both"/>
              <w:rPr>
                <w:color w:val="000000"/>
                <w:sz w:val="21"/>
              </w:rPr>
            </w:pPr>
            <w:r>
              <w:rPr>
                <w:color w:val="000000"/>
                <w:sz w:val="21"/>
              </w:rPr>
              <w:t>1</w:t>
            </w:r>
          </w:p>
        </w:tc>
        <w:tc>
          <w:tcPr>
            <w:tcW w:w="2586" w:type="dxa"/>
            <w:tcBorders>
              <w:top w:val="double" w:color="auto" w:sz="4" w:space="0"/>
            </w:tcBorders>
            <w:shd w:val="clear" w:color="auto" w:fill="auto"/>
            <w:vAlign w:val="center"/>
          </w:tcPr>
          <w:p>
            <w:pPr>
              <w:snapToGrid w:val="0"/>
              <w:jc w:val="both"/>
              <w:rPr>
                <w:rFonts w:hint="eastAsia"/>
                <w:color w:val="000000"/>
                <w:sz w:val="21"/>
              </w:rPr>
            </w:pPr>
            <w:r>
              <w:rPr>
                <w:rFonts w:hint="eastAsia"/>
                <w:color w:val="000000"/>
                <w:sz w:val="21"/>
              </w:rPr>
              <w:t>水洗槽</w:t>
            </w:r>
          </w:p>
        </w:tc>
        <w:tc>
          <w:tcPr>
            <w:tcW w:w="2451" w:type="dxa"/>
            <w:tcBorders>
              <w:top w:val="double" w:color="auto" w:sz="4" w:space="0"/>
            </w:tcBorders>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V=54m</w:t>
            </w:r>
            <w:r>
              <w:rPr>
                <w:rFonts w:hint="eastAsia"/>
                <w:color w:val="000000"/>
                <w:sz w:val="21"/>
                <w:szCs w:val="21"/>
                <w:vertAlign w:val="superscript"/>
              </w:rPr>
              <w:t>3</w:t>
            </w:r>
            <w:r>
              <w:rPr>
                <w:rFonts w:hint="eastAsia"/>
                <w:color w:val="000000"/>
                <w:sz w:val="21"/>
                <w:szCs w:val="21"/>
              </w:rPr>
              <w:t>带搅拌</w:t>
            </w:r>
          </w:p>
        </w:tc>
        <w:tc>
          <w:tcPr>
            <w:tcW w:w="2178" w:type="dxa"/>
            <w:tcBorders>
              <w:top w:val="double" w:color="auto" w:sz="4" w:space="0"/>
            </w:tcBorders>
            <w:shd w:val="clear" w:color="auto" w:fill="auto"/>
            <w:vAlign w:val="center"/>
          </w:tcPr>
          <w:p>
            <w:pPr>
              <w:snapToGrid w:val="0"/>
              <w:jc w:val="both"/>
              <w:rPr>
                <w:rFonts w:hint="eastAsia"/>
                <w:color w:val="000000"/>
                <w:sz w:val="21"/>
              </w:rPr>
            </w:pPr>
            <w:r>
              <w:rPr>
                <w:rFonts w:hint="eastAsia"/>
                <w:color w:val="000000"/>
                <w:sz w:val="21"/>
              </w:rPr>
              <w:t>碳钢防腐</w:t>
            </w:r>
          </w:p>
        </w:tc>
        <w:tc>
          <w:tcPr>
            <w:tcW w:w="1002" w:type="dxa"/>
            <w:tcBorders>
              <w:top w:val="double" w:color="auto" w:sz="4" w:space="0"/>
            </w:tcBorders>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2</w:t>
            </w:r>
          </w:p>
        </w:tc>
        <w:tc>
          <w:tcPr>
            <w:tcW w:w="2586" w:type="dxa"/>
            <w:shd w:val="clear" w:color="auto" w:fill="auto"/>
            <w:vAlign w:val="center"/>
          </w:tcPr>
          <w:p>
            <w:pPr>
              <w:snapToGrid w:val="0"/>
              <w:jc w:val="both"/>
              <w:rPr>
                <w:rFonts w:hint="eastAsia"/>
                <w:color w:val="000000"/>
                <w:sz w:val="21"/>
              </w:rPr>
            </w:pPr>
            <w:r>
              <w:rPr>
                <w:rFonts w:hint="eastAsia"/>
                <w:color w:val="000000"/>
                <w:sz w:val="21"/>
              </w:rPr>
              <w:t>压滤机</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过滤面积80m2</w:t>
            </w:r>
          </w:p>
        </w:tc>
        <w:tc>
          <w:tcPr>
            <w:tcW w:w="2178" w:type="dxa"/>
            <w:shd w:val="clear" w:color="auto" w:fill="auto"/>
            <w:vAlign w:val="center"/>
          </w:tcPr>
          <w:p>
            <w:pPr>
              <w:snapToGrid w:val="0"/>
              <w:jc w:val="both"/>
              <w:rPr>
                <w:rFonts w:hint="eastAsia"/>
                <w:color w:val="000000"/>
                <w:sz w:val="21"/>
              </w:rPr>
            </w:pPr>
            <w:r>
              <w:rPr>
                <w:rFonts w:hint="eastAsia"/>
                <w:color w:val="000000"/>
                <w:sz w:val="21"/>
              </w:rPr>
              <w:t>聚丙烯</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15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3</w:t>
            </w:r>
          </w:p>
        </w:tc>
        <w:tc>
          <w:tcPr>
            <w:tcW w:w="2586" w:type="dxa"/>
            <w:shd w:val="clear" w:color="auto" w:fill="auto"/>
            <w:vAlign w:val="center"/>
          </w:tcPr>
          <w:p>
            <w:pPr>
              <w:snapToGrid w:val="0"/>
              <w:jc w:val="both"/>
              <w:rPr>
                <w:rFonts w:hint="eastAsia"/>
                <w:color w:val="000000"/>
                <w:sz w:val="21"/>
              </w:rPr>
            </w:pPr>
            <w:r>
              <w:rPr>
                <w:rFonts w:hint="eastAsia"/>
                <w:color w:val="000000"/>
                <w:sz w:val="21"/>
              </w:rPr>
              <w:t>反应器Ⅰ</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V=54m</w:t>
            </w:r>
            <w:r>
              <w:rPr>
                <w:rFonts w:hint="eastAsia"/>
                <w:color w:val="000000"/>
                <w:sz w:val="21"/>
                <w:szCs w:val="21"/>
                <w:vertAlign w:val="superscript"/>
              </w:rPr>
              <w:t>3</w:t>
            </w:r>
            <w:r>
              <w:rPr>
                <w:rFonts w:hint="eastAsia"/>
                <w:color w:val="000000"/>
                <w:sz w:val="21"/>
                <w:szCs w:val="21"/>
              </w:rPr>
              <w:t>带搅拌</w:t>
            </w:r>
          </w:p>
        </w:tc>
        <w:tc>
          <w:tcPr>
            <w:tcW w:w="2178" w:type="dxa"/>
            <w:shd w:val="clear" w:color="auto" w:fill="auto"/>
            <w:vAlign w:val="center"/>
          </w:tcPr>
          <w:p>
            <w:pPr>
              <w:snapToGrid w:val="0"/>
              <w:jc w:val="both"/>
              <w:rPr>
                <w:rFonts w:hint="eastAsia"/>
                <w:color w:val="000000"/>
                <w:sz w:val="21"/>
              </w:rPr>
            </w:pPr>
            <w:r>
              <w:rPr>
                <w:rFonts w:hint="eastAsia"/>
                <w:color w:val="000000"/>
                <w:sz w:val="21"/>
              </w:rPr>
              <w:t>碳钢防腐</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4</w:t>
            </w:r>
          </w:p>
        </w:tc>
        <w:tc>
          <w:tcPr>
            <w:tcW w:w="2586" w:type="dxa"/>
            <w:shd w:val="clear" w:color="auto" w:fill="auto"/>
            <w:vAlign w:val="center"/>
          </w:tcPr>
          <w:p>
            <w:pPr>
              <w:snapToGrid w:val="0"/>
              <w:jc w:val="both"/>
              <w:rPr>
                <w:rFonts w:hint="eastAsia"/>
                <w:color w:val="000000"/>
                <w:sz w:val="21"/>
              </w:rPr>
            </w:pPr>
            <w:r>
              <w:rPr>
                <w:rFonts w:hint="eastAsia"/>
                <w:color w:val="000000"/>
                <w:sz w:val="21"/>
              </w:rPr>
              <w:t>反应器Ⅱ</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V=54m</w:t>
            </w:r>
            <w:r>
              <w:rPr>
                <w:rFonts w:hint="eastAsia"/>
                <w:color w:val="000000"/>
                <w:sz w:val="21"/>
                <w:szCs w:val="21"/>
                <w:vertAlign w:val="superscript"/>
              </w:rPr>
              <w:t>3</w:t>
            </w:r>
            <w:r>
              <w:rPr>
                <w:rFonts w:hint="eastAsia"/>
                <w:color w:val="000000"/>
                <w:sz w:val="21"/>
                <w:szCs w:val="21"/>
              </w:rPr>
              <w:t>带搅拌</w:t>
            </w:r>
          </w:p>
        </w:tc>
        <w:tc>
          <w:tcPr>
            <w:tcW w:w="2178" w:type="dxa"/>
            <w:shd w:val="clear" w:color="auto" w:fill="auto"/>
            <w:vAlign w:val="center"/>
          </w:tcPr>
          <w:p>
            <w:pPr>
              <w:snapToGrid w:val="0"/>
              <w:jc w:val="both"/>
              <w:rPr>
                <w:rFonts w:hint="eastAsia"/>
                <w:color w:val="000000"/>
                <w:sz w:val="21"/>
              </w:rPr>
            </w:pP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5</w:t>
            </w:r>
          </w:p>
        </w:tc>
        <w:tc>
          <w:tcPr>
            <w:tcW w:w="2586" w:type="dxa"/>
            <w:shd w:val="clear" w:color="auto" w:fill="auto"/>
            <w:vAlign w:val="center"/>
          </w:tcPr>
          <w:p>
            <w:pPr>
              <w:snapToGrid w:val="0"/>
              <w:jc w:val="both"/>
              <w:rPr>
                <w:rFonts w:hint="eastAsia"/>
                <w:color w:val="000000"/>
                <w:sz w:val="21"/>
              </w:rPr>
            </w:pPr>
            <w:r>
              <w:rPr>
                <w:rFonts w:hint="eastAsia"/>
                <w:color w:val="000000"/>
                <w:sz w:val="21"/>
              </w:rPr>
              <w:t>净化器</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V=54m</w:t>
            </w:r>
            <w:r>
              <w:rPr>
                <w:rFonts w:hint="eastAsia"/>
                <w:color w:val="000000"/>
                <w:sz w:val="21"/>
                <w:szCs w:val="21"/>
                <w:vertAlign w:val="superscript"/>
              </w:rPr>
              <w:t>3</w:t>
            </w:r>
            <w:r>
              <w:rPr>
                <w:rFonts w:hint="eastAsia"/>
                <w:color w:val="000000"/>
                <w:sz w:val="21"/>
                <w:szCs w:val="21"/>
              </w:rPr>
              <w:t>带搅拌</w:t>
            </w:r>
          </w:p>
        </w:tc>
        <w:tc>
          <w:tcPr>
            <w:tcW w:w="2178" w:type="dxa"/>
            <w:shd w:val="clear" w:color="auto" w:fill="auto"/>
            <w:vAlign w:val="center"/>
          </w:tcPr>
          <w:p>
            <w:pPr>
              <w:snapToGrid w:val="0"/>
              <w:jc w:val="both"/>
              <w:rPr>
                <w:rFonts w:hint="eastAsia"/>
                <w:color w:val="000000"/>
                <w:sz w:val="21"/>
              </w:rPr>
            </w:pPr>
            <w:r>
              <w:rPr>
                <w:rFonts w:hint="eastAsia"/>
                <w:color w:val="000000"/>
                <w:sz w:val="21"/>
              </w:rPr>
              <w:t>碳钢防腐</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6</w:t>
            </w:r>
          </w:p>
        </w:tc>
        <w:tc>
          <w:tcPr>
            <w:tcW w:w="2586"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旋转闪蒸干燥机</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XZG1200型</w:t>
            </w:r>
          </w:p>
        </w:tc>
        <w:tc>
          <w:tcPr>
            <w:tcW w:w="2178" w:type="dxa"/>
            <w:shd w:val="clear" w:color="auto" w:fill="auto"/>
            <w:vAlign w:val="center"/>
          </w:tcPr>
          <w:p>
            <w:pPr>
              <w:snapToGrid w:val="0"/>
              <w:jc w:val="both"/>
              <w:rPr>
                <w:rFonts w:hint="eastAsia"/>
                <w:color w:val="000000"/>
                <w:sz w:val="21"/>
              </w:rPr>
            </w:pPr>
            <w:r>
              <w:rPr>
                <w:rFonts w:hint="eastAsia"/>
                <w:color w:val="000000"/>
                <w:sz w:val="21"/>
              </w:rPr>
              <w:t>不锈钢</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7</w:t>
            </w:r>
          </w:p>
        </w:tc>
        <w:tc>
          <w:tcPr>
            <w:tcW w:w="2586" w:type="dxa"/>
            <w:shd w:val="clear" w:color="auto" w:fill="auto"/>
            <w:vAlign w:val="center"/>
          </w:tcPr>
          <w:p>
            <w:pPr>
              <w:snapToGrid w:val="0"/>
              <w:jc w:val="both"/>
              <w:rPr>
                <w:rFonts w:hint="eastAsia"/>
                <w:color w:val="000000"/>
                <w:sz w:val="21"/>
              </w:rPr>
            </w:pPr>
            <w:r>
              <w:rPr>
                <w:rFonts w:hint="eastAsia"/>
                <w:color w:val="000000"/>
                <w:sz w:val="21"/>
              </w:rPr>
              <w:t>焙烧炉</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滚筒式煤或煤气加热</w:t>
            </w:r>
          </w:p>
        </w:tc>
        <w:tc>
          <w:tcPr>
            <w:tcW w:w="2178" w:type="dxa"/>
            <w:shd w:val="clear" w:color="auto" w:fill="auto"/>
            <w:vAlign w:val="center"/>
          </w:tcPr>
          <w:p>
            <w:pPr>
              <w:snapToGrid w:val="0"/>
              <w:jc w:val="both"/>
              <w:rPr>
                <w:rFonts w:hint="eastAsia"/>
                <w:color w:val="000000"/>
                <w:sz w:val="21"/>
              </w:rPr>
            </w:pPr>
            <w:r>
              <w:rPr>
                <w:rFonts w:hint="eastAsia"/>
                <w:color w:val="000000"/>
                <w:sz w:val="21"/>
              </w:rPr>
              <w:t>不锈钢</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1</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8</w:t>
            </w:r>
          </w:p>
        </w:tc>
        <w:tc>
          <w:tcPr>
            <w:tcW w:w="2586" w:type="dxa"/>
            <w:shd w:val="clear" w:color="auto" w:fill="auto"/>
            <w:vAlign w:val="center"/>
          </w:tcPr>
          <w:p>
            <w:pPr>
              <w:snapToGrid w:val="0"/>
              <w:jc w:val="both"/>
              <w:rPr>
                <w:rFonts w:hint="eastAsia"/>
                <w:color w:val="000000"/>
                <w:sz w:val="21"/>
              </w:rPr>
            </w:pPr>
            <w:r>
              <w:rPr>
                <w:rFonts w:hint="eastAsia"/>
                <w:color w:val="000000"/>
                <w:sz w:val="21"/>
              </w:rPr>
              <w:t>分解槽</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V=54m</w:t>
            </w:r>
            <w:r>
              <w:rPr>
                <w:rFonts w:hint="eastAsia"/>
                <w:color w:val="000000"/>
                <w:sz w:val="21"/>
                <w:szCs w:val="21"/>
                <w:vertAlign w:val="superscript"/>
              </w:rPr>
              <w:t>3</w:t>
            </w:r>
            <w:r>
              <w:rPr>
                <w:rFonts w:hint="eastAsia"/>
                <w:color w:val="000000"/>
                <w:sz w:val="21"/>
                <w:szCs w:val="21"/>
              </w:rPr>
              <w:t>带搅拌</w:t>
            </w:r>
          </w:p>
        </w:tc>
        <w:tc>
          <w:tcPr>
            <w:tcW w:w="2178" w:type="dxa"/>
            <w:shd w:val="clear" w:color="auto" w:fill="auto"/>
            <w:vAlign w:val="center"/>
          </w:tcPr>
          <w:p>
            <w:pPr>
              <w:snapToGrid w:val="0"/>
              <w:jc w:val="both"/>
              <w:rPr>
                <w:rFonts w:hint="eastAsia"/>
                <w:color w:val="000000"/>
                <w:sz w:val="21"/>
              </w:rPr>
            </w:pPr>
            <w:r>
              <w:rPr>
                <w:rFonts w:hint="eastAsia"/>
                <w:color w:val="000000"/>
                <w:sz w:val="21"/>
              </w:rPr>
              <w:t>碳钢防腐</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9</w:t>
            </w:r>
          </w:p>
        </w:tc>
        <w:tc>
          <w:tcPr>
            <w:tcW w:w="2586" w:type="dxa"/>
            <w:shd w:val="clear" w:color="auto" w:fill="auto"/>
            <w:vAlign w:val="center"/>
          </w:tcPr>
          <w:p>
            <w:pPr>
              <w:snapToGrid w:val="0"/>
              <w:jc w:val="both"/>
              <w:rPr>
                <w:rFonts w:hint="eastAsia"/>
                <w:color w:val="000000"/>
                <w:sz w:val="21"/>
              </w:rPr>
            </w:pPr>
            <w:r>
              <w:rPr>
                <w:rFonts w:hint="eastAsia"/>
                <w:color w:val="000000"/>
                <w:sz w:val="21"/>
              </w:rPr>
              <w:t>吸收装置</w:t>
            </w:r>
          </w:p>
        </w:tc>
        <w:tc>
          <w:tcPr>
            <w:tcW w:w="2451" w:type="dxa"/>
            <w:shd w:val="clear" w:color="auto" w:fill="auto"/>
            <w:vAlign w:val="center"/>
          </w:tcPr>
          <w:p>
            <w:pPr>
              <w:snapToGrid w:val="0"/>
              <w:jc w:val="both"/>
              <w:rPr>
                <w:rFonts w:hint="eastAsia"/>
                <w:color w:val="000000"/>
                <w:sz w:val="21"/>
              </w:rPr>
            </w:pPr>
          </w:p>
        </w:tc>
        <w:tc>
          <w:tcPr>
            <w:tcW w:w="2178" w:type="dxa"/>
            <w:shd w:val="clear" w:color="auto" w:fill="auto"/>
            <w:vAlign w:val="center"/>
          </w:tcPr>
          <w:p>
            <w:pPr>
              <w:snapToGrid w:val="0"/>
              <w:jc w:val="both"/>
              <w:rPr>
                <w:rFonts w:hint="eastAsia"/>
                <w:color w:val="000000"/>
                <w:sz w:val="21"/>
              </w:rPr>
            </w:pPr>
            <w:r>
              <w:rPr>
                <w:rFonts w:hint="eastAsia"/>
                <w:color w:val="000000"/>
                <w:sz w:val="21"/>
              </w:rPr>
              <w:t>碳钢防腐</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10</w:t>
            </w:r>
          </w:p>
        </w:tc>
        <w:tc>
          <w:tcPr>
            <w:tcW w:w="2586" w:type="dxa"/>
            <w:shd w:val="clear" w:color="auto" w:fill="auto"/>
            <w:vAlign w:val="center"/>
          </w:tcPr>
          <w:p>
            <w:pPr>
              <w:snapToGrid w:val="0"/>
              <w:jc w:val="both"/>
              <w:rPr>
                <w:rFonts w:hint="eastAsia"/>
                <w:color w:val="000000"/>
                <w:sz w:val="21"/>
              </w:rPr>
            </w:pPr>
            <w:r>
              <w:rPr>
                <w:rFonts w:hint="eastAsia"/>
                <w:color w:val="000000"/>
                <w:sz w:val="21"/>
              </w:rPr>
              <w:t>净化槽</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V=54m</w:t>
            </w:r>
            <w:r>
              <w:rPr>
                <w:rFonts w:hint="eastAsia"/>
                <w:color w:val="000000"/>
                <w:sz w:val="21"/>
                <w:szCs w:val="21"/>
                <w:vertAlign w:val="superscript"/>
              </w:rPr>
              <w:t>3</w:t>
            </w:r>
            <w:r>
              <w:rPr>
                <w:rFonts w:hint="eastAsia"/>
                <w:color w:val="000000"/>
                <w:sz w:val="21"/>
                <w:szCs w:val="21"/>
              </w:rPr>
              <w:t>带搅拌</w:t>
            </w:r>
          </w:p>
        </w:tc>
        <w:tc>
          <w:tcPr>
            <w:tcW w:w="2178" w:type="dxa"/>
            <w:shd w:val="clear" w:color="auto" w:fill="auto"/>
            <w:vAlign w:val="center"/>
          </w:tcPr>
          <w:p>
            <w:pPr>
              <w:snapToGrid w:val="0"/>
              <w:jc w:val="both"/>
              <w:rPr>
                <w:rFonts w:hint="eastAsia"/>
                <w:color w:val="000000"/>
                <w:sz w:val="21"/>
              </w:rPr>
            </w:pPr>
            <w:r>
              <w:rPr>
                <w:rFonts w:hint="eastAsia"/>
                <w:color w:val="000000"/>
                <w:sz w:val="21"/>
              </w:rPr>
              <w:t>碳钢防腐</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PrEx>
        <w:trPr>
          <w:trHeight w:val="436" w:hRule="atLeast"/>
        </w:trPr>
        <w:tc>
          <w:tcPr>
            <w:tcW w:w="923" w:type="dxa"/>
            <w:shd w:val="clear" w:color="auto" w:fill="auto"/>
            <w:vAlign w:val="center"/>
          </w:tcPr>
          <w:p>
            <w:pPr>
              <w:snapToGrid w:val="0"/>
              <w:ind w:left="0" w:leftChars="0" w:firstLine="0" w:firstLineChars="0"/>
              <w:jc w:val="both"/>
              <w:rPr>
                <w:color w:val="000000"/>
                <w:sz w:val="21"/>
              </w:rPr>
            </w:pPr>
            <w:r>
              <w:rPr>
                <w:color w:val="000000"/>
                <w:sz w:val="21"/>
              </w:rPr>
              <w:t>11</w:t>
            </w:r>
          </w:p>
        </w:tc>
        <w:tc>
          <w:tcPr>
            <w:tcW w:w="2586" w:type="dxa"/>
            <w:shd w:val="clear" w:color="auto" w:fill="auto"/>
            <w:vAlign w:val="center"/>
          </w:tcPr>
          <w:p>
            <w:pPr>
              <w:snapToGrid w:val="0"/>
              <w:jc w:val="both"/>
              <w:rPr>
                <w:rFonts w:hint="eastAsia"/>
                <w:color w:val="000000"/>
                <w:sz w:val="21"/>
                <w:szCs w:val="21"/>
              </w:rPr>
            </w:pPr>
            <w:r>
              <w:rPr>
                <w:rFonts w:hint="eastAsia"/>
                <w:color w:val="000000"/>
                <w:sz w:val="21"/>
                <w:szCs w:val="21"/>
              </w:rPr>
              <w:t>贮槽</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各种规格</w:t>
            </w:r>
          </w:p>
        </w:tc>
        <w:tc>
          <w:tcPr>
            <w:tcW w:w="2178"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碳钢防腐或砼防腐</w:t>
            </w:r>
          </w:p>
        </w:tc>
        <w:tc>
          <w:tcPr>
            <w:tcW w:w="1002"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10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923"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12</w:t>
            </w:r>
          </w:p>
        </w:tc>
        <w:tc>
          <w:tcPr>
            <w:tcW w:w="2586" w:type="dxa"/>
            <w:shd w:val="clear" w:color="auto" w:fill="auto"/>
            <w:vAlign w:val="center"/>
          </w:tcPr>
          <w:p>
            <w:pPr>
              <w:snapToGrid w:val="0"/>
              <w:jc w:val="both"/>
              <w:rPr>
                <w:rFonts w:hint="eastAsia"/>
                <w:color w:val="000000"/>
                <w:sz w:val="21"/>
                <w:szCs w:val="21"/>
              </w:rPr>
            </w:pPr>
            <w:r>
              <w:rPr>
                <w:rFonts w:hint="eastAsia"/>
                <w:color w:val="000000"/>
                <w:sz w:val="21"/>
                <w:szCs w:val="21"/>
              </w:rPr>
              <w:t>硫酸</w:t>
            </w:r>
            <w:r>
              <w:rPr>
                <w:rFonts w:hint="eastAsia"/>
                <w:color w:val="000000"/>
                <w:sz w:val="21"/>
                <w:szCs w:val="21"/>
                <w:lang w:eastAsia="zh-CN"/>
              </w:rPr>
              <w:t>立</w:t>
            </w:r>
            <w:r>
              <w:rPr>
                <w:rFonts w:hint="eastAsia"/>
                <w:color w:val="000000"/>
                <w:sz w:val="21"/>
                <w:szCs w:val="21"/>
              </w:rPr>
              <w:t>罐</w:t>
            </w:r>
          </w:p>
        </w:tc>
        <w:tc>
          <w:tcPr>
            <w:tcW w:w="2451"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lang w:val="en-US" w:eastAsia="zh-CN"/>
              </w:rPr>
              <w:t>17</w:t>
            </w:r>
            <w:r>
              <w:rPr>
                <w:rFonts w:hint="eastAsia"/>
                <w:color w:val="000000"/>
                <w:sz w:val="21"/>
              </w:rPr>
              <w:t>0m</w:t>
            </w:r>
            <w:r>
              <w:rPr>
                <w:rFonts w:hint="eastAsia"/>
                <w:color w:val="000000"/>
                <w:sz w:val="21"/>
                <w:vertAlign w:val="superscript"/>
              </w:rPr>
              <w:t>3</w:t>
            </w:r>
          </w:p>
        </w:tc>
        <w:tc>
          <w:tcPr>
            <w:tcW w:w="2178" w:type="dxa"/>
            <w:shd w:val="clear" w:color="auto" w:fill="auto"/>
            <w:vAlign w:val="center"/>
          </w:tcPr>
          <w:p>
            <w:pPr>
              <w:snapToGrid w:val="0"/>
              <w:jc w:val="both"/>
              <w:rPr>
                <w:rFonts w:hint="eastAsia"/>
                <w:color w:val="000000"/>
                <w:sz w:val="21"/>
              </w:rPr>
            </w:pPr>
          </w:p>
        </w:tc>
        <w:tc>
          <w:tcPr>
            <w:tcW w:w="1002" w:type="dxa"/>
            <w:shd w:val="clear" w:color="auto" w:fill="auto"/>
            <w:vAlign w:val="center"/>
          </w:tcPr>
          <w:p>
            <w:pPr>
              <w:snapToGrid w:val="0"/>
              <w:ind w:left="0" w:leftChars="0" w:firstLine="0" w:firstLineChars="0"/>
              <w:jc w:val="both"/>
              <w:rPr>
                <w:rFonts w:hint="eastAsia" w:eastAsia="仿宋_GB2312"/>
                <w:color w:val="000000"/>
                <w:sz w:val="21"/>
                <w:lang w:eastAsia="zh-CN"/>
              </w:rPr>
            </w:pPr>
            <w:r>
              <w:rPr>
                <w:rFonts w:hint="eastAsia"/>
                <w:color w:val="000000"/>
                <w:sz w:val="21"/>
                <w:lang w:val="en-US" w:eastAsia="zh-CN"/>
              </w:rPr>
              <w:t>2</w:t>
            </w:r>
          </w:p>
        </w:tc>
      </w:tr>
    </w:tbl>
    <w:p>
      <w:pPr>
        <w:spacing w:line="500" w:lineRule="exact"/>
        <w:ind w:leftChars="0" w:right="280" w:firstLine="0" w:firstLineChars="0"/>
        <w:rPr>
          <w:rFonts w:hint="eastAsia" w:ascii="仿宋" w:hAnsi="仿宋" w:eastAsia="仿宋"/>
          <w:b/>
          <w:szCs w:val="28"/>
          <w:highlight w:val="none"/>
          <w:lang w:val="en-US" w:eastAsia="zh-CN"/>
        </w:rPr>
      </w:pPr>
      <w:r>
        <w:rPr>
          <w:rFonts w:hint="eastAsia" w:ascii="仿宋" w:hAnsi="仿宋" w:eastAsia="仿宋"/>
          <w:b/>
          <w:szCs w:val="28"/>
          <w:highlight w:val="none"/>
          <w:lang w:val="en-US" w:eastAsia="zh-CN"/>
        </w:rPr>
        <w:t>2.2-5氯化锌设备</w:t>
      </w:r>
    </w:p>
    <w:tbl>
      <w:tblPr>
        <w:tblStyle w:val="39"/>
        <w:tblW w:w="9100"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574"/>
        <w:gridCol w:w="2441"/>
        <w:gridCol w:w="2169"/>
        <w:gridCol w:w="99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919" w:type="dxa"/>
            <w:tcBorders>
              <w:top w:val="single" w:color="000000" w:sz="12" w:space="0"/>
              <w:bottom w:val="double" w:color="auto" w:sz="4" w:space="0"/>
            </w:tcBorders>
            <w:shd w:val="clear" w:color="auto" w:fill="auto"/>
            <w:vAlign w:val="center"/>
          </w:tcPr>
          <w:p>
            <w:pPr>
              <w:snapToGrid w:val="0"/>
              <w:ind w:left="0" w:leftChars="0" w:firstLine="0" w:firstLineChars="0"/>
              <w:jc w:val="both"/>
              <w:rPr>
                <w:color w:val="000000"/>
                <w:sz w:val="21"/>
              </w:rPr>
            </w:pPr>
            <w:r>
              <w:rPr>
                <w:color w:val="000000"/>
                <w:sz w:val="21"/>
              </w:rPr>
              <w:t>序号</w:t>
            </w:r>
          </w:p>
        </w:tc>
        <w:tc>
          <w:tcPr>
            <w:tcW w:w="2574" w:type="dxa"/>
            <w:tcBorders>
              <w:top w:val="single" w:color="000000" w:sz="12" w:space="0"/>
              <w:bottom w:val="double" w:color="auto" w:sz="4" w:space="0"/>
            </w:tcBorders>
            <w:shd w:val="clear" w:color="auto" w:fill="auto"/>
            <w:vAlign w:val="center"/>
          </w:tcPr>
          <w:p>
            <w:pPr>
              <w:snapToGrid w:val="0"/>
              <w:jc w:val="center"/>
              <w:rPr>
                <w:rFonts w:hint="eastAsia"/>
                <w:color w:val="000000"/>
                <w:sz w:val="21"/>
              </w:rPr>
            </w:pPr>
            <w:r>
              <w:rPr>
                <w:color w:val="000000"/>
                <w:sz w:val="21"/>
              </w:rPr>
              <w:t>设备</w:t>
            </w:r>
            <w:r>
              <w:rPr>
                <w:rFonts w:hint="eastAsia"/>
                <w:color w:val="000000"/>
                <w:sz w:val="21"/>
              </w:rPr>
              <w:t>名称</w:t>
            </w:r>
          </w:p>
        </w:tc>
        <w:tc>
          <w:tcPr>
            <w:tcW w:w="2441" w:type="dxa"/>
            <w:tcBorders>
              <w:top w:val="single" w:color="000000" w:sz="12" w:space="0"/>
              <w:bottom w:val="double" w:color="auto" w:sz="4" w:space="0"/>
            </w:tcBorders>
            <w:shd w:val="clear" w:color="auto" w:fill="auto"/>
            <w:vAlign w:val="center"/>
          </w:tcPr>
          <w:p>
            <w:pPr>
              <w:snapToGrid w:val="0"/>
              <w:jc w:val="center"/>
              <w:rPr>
                <w:color w:val="000000"/>
                <w:sz w:val="21"/>
              </w:rPr>
            </w:pPr>
            <w:r>
              <w:rPr>
                <w:color w:val="000000"/>
                <w:sz w:val="21"/>
              </w:rPr>
              <w:t>设备规格</w:t>
            </w:r>
          </w:p>
        </w:tc>
        <w:tc>
          <w:tcPr>
            <w:tcW w:w="2169" w:type="dxa"/>
            <w:tcBorders>
              <w:top w:val="single" w:color="000000" w:sz="12" w:space="0"/>
              <w:bottom w:val="double" w:color="auto" w:sz="4" w:space="0"/>
            </w:tcBorders>
            <w:shd w:val="clear" w:color="auto" w:fill="auto"/>
            <w:vAlign w:val="center"/>
          </w:tcPr>
          <w:p>
            <w:pPr>
              <w:snapToGrid w:val="0"/>
              <w:jc w:val="center"/>
              <w:rPr>
                <w:color w:val="000000"/>
                <w:sz w:val="21"/>
              </w:rPr>
            </w:pPr>
            <w:r>
              <w:rPr>
                <w:color w:val="000000"/>
                <w:sz w:val="21"/>
              </w:rPr>
              <w:t>材 料</w:t>
            </w:r>
          </w:p>
        </w:tc>
        <w:tc>
          <w:tcPr>
            <w:tcW w:w="997" w:type="dxa"/>
            <w:tcBorders>
              <w:top w:val="single" w:color="000000" w:sz="12" w:space="0"/>
              <w:bottom w:val="double" w:color="auto" w:sz="4" w:space="0"/>
            </w:tcBorders>
            <w:shd w:val="clear" w:color="auto" w:fill="auto"/>
            <w:vAlign w:val="center"/>
          </w:tcPr>
          <w:p>
            <w:pPr>
              <w:snapToGrid w:val="0"/>
              <w:ind w:left="0" w:leftChars="0" w:firstLine="0" w:firstLineChars="0"/>
              <w:jc w:val="both"/>
              <w:rPr>
                <w:color w:val="000000"/>
                <w:sz w:val="21"/>
              </w:rPr>
            </w:pPr>
            <w:r>
              <w:rPr>
                <w:color w:val="000000"/>
                <w:sz w:val="21"/>
              </w:rPr>
              <w:t>数量</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9" w:type="dxa"/>
            <w:tcBorders>
              <w:top w:val="double" w:color="auto" w:sz="4" w:space="0"/>
            </w:tcBorders>
            <w:shd w:val="clear" w:color="auto" w:fill="auto"/>
            <w:vAlign w:val="center"/>
          </w:tcPr>
          <w:p>
            <w:pPr>
              <w:snapToGrid w:val="0"/>
              <w:ind w:left="0" w:leftChars="0" w:firstLine="0" w:firstLineChars="0"/>
              <w:jc w:val="both"/>
              <w:rPr>
                <w:color w:val="000000"/>
                <w:sz w:val="21"/>
              </w:rPr>
            </w:pPr>
            <w:r>
              <w:rPr>
                <w:color w:val="000000"/>
                <w:sz w:val="21"/>
              </w:rPr>
              <w:t>1</w:t>
            </w:r>
          </w:p>
        </w:tc>
        <w:tc>
          <w:tcPr>
            <w:tcW w:w="2574" w:type="dxa"/>
            <w:tcBorders>
              <w:top w:val="double" w:color="auto" w:sz="4" w:space="0"/>
            </w:tcBorders>
            <w:shd w:val="clear" w:color="auto" w:fill="auto"/>
            <w:vAlign w:val="center"/>
          </w:tcPr>
          <w:p>
            <w:pPr>
              <w:snapToGrid w:val="0"/>
              <w:jc w:val="both"/>
              <w:rPr>
                <w:rFonts w:hint="eastAsia"/>
                <w:color w:val="000000"/>
                <w:sz w:val="21"/>
              </w:rPr>
            </w:pPr>
            <w:r>
              <w:rPr>
                <w:rFonts w:hint="eastAsia"/>
                <w:color w:val="000000"/>
                <w:sz w:val="21"/>
              </w:rPr>
              <w:t>浸出槽</w:t>
            </w:r>
          </w:p>
        </w:tc>
        <w:tc>
          <w:tcPr>
            <w:tcW w:w="2441" w:type="dxa"/>
            <w:tcBorders>
              <w:top w:val="double" w:color="auto" w:sz="4" w:space="0"/>
            </w:tcBorders>
            <w:shd w:val="clear" w:color="auto" w:fill="auto"/>
            <w:vAlign w:val="center"/>
          </w:tcPr>
          <w:p>
            <w:pPr>
              <w:snapToGrid w:val="0"/>
              <w:jc w:val="center"/>
              <w:rPr>
                <w:rFonts w:hint="eastAsia"/>
                <w:color w:val="000000"/>
                <w:sz w:val="21"/>
              </w:rPr>
            </w:pPr>
            <w:r>
              <w:rPr>
                <w:rFonts w:hint="eastAsia"/>
                <w:color w:val="000000"/>
                <w:sz w:val="21"/>
              </w:rPr>
              <w:t>Φ3.8m×4.5m</w:t>
            </w:r>
          </w:p>
        </w:tc>
        <w:tc>
          <w:tcPr>
            <w:tcW w:w="2169" w:type="dxa"/>
            <w:tcBorders>
              <w:top w:val="double" w:color="auto" w:sz="4" w:space="0"/>
            </w:tcBorders>
            <w:shd w:val="clear" w:color="auto" w:fill="auto"/>
            <w:vAlign w:val="center"/>
          </w:tcPr>
          <w:p>
            <w:pPr>
              <w:snapToGrid w:val="0"/>
              <w:jc w:val="center"/>
              <w:rPr>
                <w:rFonts w:hint="eastAsia"/>
                <w:color w:val="000000"/>
                <w:sz w:val="21"/>
              </w:rPr>
            </w:pPr>
            <w:r>
              <w:rPr>
                <w:rFonts w:hint="eastAsia"/>
                <w:color w:val="000000"/>
                <w:sz w:val="21"/>
              </w:rPr>
              <w:t>钢混防腐</w:t>
            </w:r>
          </w:p>
        </w:tc>
        <w:tc>
          <w:tcPr>
            <w:tcW w:w="997" w:type="dxa"/>
            <w:tcBorders>
              <w:top w:val="double" w:color="auto" w:sz="4" w:space="0"/>
            </w:tcBorders>
            <w:shd w:val="clear" w:color="auto" w:fill="auto"/>
            <w:vAlign w:val="center"/>
          </w:tcPr>
          <w:p>
            <w:pPr>
              <w:snapToGrid w:val="0"/>
              <w:jc w:val="center"/>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2</w:t>
            </w:r>
          </w:p>
        </w:tc>
        <w:tc>
          <w:tcPr>
            <w:tcW w:w="2574" w:type="dxa"/>
            <w:shd w:val="clear" w:color="auto" w:fill="auto"/>
            <w:vAlign w:val="center"/>
          </w:tcPr>
          <w:p>
            <w:pPr>
              <w:snapToGrid w:val="0"/>
              <w:jc w:val="both"/>
              <w:rPr>
                <w:rFonts w:hint="eastAsia"/>
                <w:color w:val="000000"/>
                <w:sz w:val="21"/>
              </w:rPr>
            </w:pPr>
            <w:r>
              <w:rPr>
                <w:rFonts w:hint="eastAsia"/>
                <w:color w:val="000000"/>
                <w:sz w:val="21"/>
              </w:rPr>
              <w:t>净化槽</w:t>
            </w:r>
          </w:p>
        </w:tc>
        <w:tc>
          <w:tcPr>
            <w:tcW w:w="2441" w:type="dxa"/>
            <w:shd w:val="clear" w:color="auto" w:fill="auto"/>
            <w:vAlign w:val="center"/>
          </w:tcPr>
          <w:p>
            <w:pPr>
              <w:snapToGrid w:val="0"/>
              <w:jc w:val="center"/>
              <w:rPr>
                <w:rFonts w:hint="eastAsia"/>
                <w:color w:val="000000"/>
                <w:sz w:val="21"/>
              </w:rPr>
            </w:pPr>
            <w:r>
              <w:rPr>
                <w:rFonts w:hint="eastAsia"/>
                <w:color w:val="000000"/>
                <w:sz w:val="21"/>
              </w:rPr>
              <w:t>Φ3.8m×4.5m</w:t>
            </w:r>
          </w:p>
        </w:tc>
        <w:tc>
          <w:tcPr>
            <w:tcW w:w="2169" w:type="dxa"/>
            <w:shd w:val="clear" w:color="auto" w:fill="auto"/>
            <w:vAlign w:val="center"/>
          </w:tcPr>
          <w:p>
            <w:pPr>
              <w:snapToGrid w:val="0"/>
              <w:jc w:val="center"/>
              <w:rPr>
                <w:rFonts w:hint="eastAsia"/>
                <w:color w:val="000000"/>
                <w:sz w:val="21"/>
              </w:rPr>
            </w:pPr>
            <w:r>
              <w:rPr>
                <w:rFonts w:hint="eastAsia"/>
                <w:color w:val="000000"/>
                <w:sz w:val="21"/>
              </w:rPr>
              <w:t>钢混防腐</w:t>
            </w:r>
          </w:p>
        </w:tc>
        <w:tc>
          <w:tcPr>
            <w:tcW w:w="997" w:type="dxa"/>
            <w:shd w:val="clear" w:color="auto" w:fill="auto"/>
            <w:vAlign w:val="center"/>
          </w:tcPr>
          <w:p>
            <w:pPr>
              <w:snapToGrid w:val="0"/>
              <w:jc w:val="center"/>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3</w:t>
            </w:r>
          </w:p>
        </w:tc>
        <w:tc>
          <w:tcPr>
            <w:tcW w:w="2574" w:type="dxa"/>
            <w:shd w:val="clear" w:color="auto" w:fill="auto"/>
            <w:vAlign w:val="center"/>
          </w:tcPr>
          <w:p>
            <w:pPr>
              <w:snapToGrid w:val="0"/>
              <w:jc w:val="both"/>
              <w:rPr>
                <w:rFonts w:hint="eastAsia"/>
                <w:color w:val="000000"/>
                <w:sz w:val="21"/>
              </w:rPr>
            </w:pPr>
            <w:r>
              <w:rPr>
                <w:rFonts w:hint="eastAsia"/>
                <w:color w:val="000000"/>
                <w:sz w:val="21"/>
              </w:rPr>
              <w:t>合成储槽</w:t>
            </w:r>
          </w:p>
        </w:tc>
        <w:tc>
          <w:tcPr>
            <w:tcW w:w="2441" w:type="dxa"/>
            <w:shd w:val="clear" w:color="auto" w:fill="auto"/>
            <w:vAlign w:val="center"/>
          </w:tcPr>
          <w:p>
            <w:pPr>
              <w:snapToGrid w:val="0"/>
              <w:jc w:val="center"/>
              <w:rPr>
                <w:rFonts w:hint="eastAsia"/>
                <w:color w:val="000000"/>
                <w:sz w:val="21"/>
              </w:rPr>
            </w:pPr>
            <w:r>
              <w:rPr>
                <w:rFonts w:hint="eastAsia"/>
                <w:color w:val="000000"/>
                <w:sz w:val="21"/>
              </w:rPr>
              <w:t>100m</w:t>
            </w:r>
            <w:r>
              <w:rPr>
                <w:rFonts w:hint="eastAsia"/>
                <w:color w:val="000000"/>
                <w:sz w:val="21"/>
                <w:vertAlign w:val="superscript"/>
              </w:rPr>
              <w:t>3</w:t>
            </w:r>
          </w:p>
        </w:tc>
        <w:tc>
          <w:tcPr>
            <w:tcW w:w="2169" w:type="dxa"/>
            <w:shd w:val="clear" w:color="auto" w:fill="auto"/>
            <w:vAlign w:val="center"/>
          </w:tcPr>
          <w:p>
            <w:pPr>
              <w:snapToGrid w:val="0"/>
              <w:jc w:val="center"/>
              <w:rPr>
                <w:rFonts w:hint="eastAsia"/>
                <w:color w:val="000000"/>
                <w:sz w:val="21"/>
              </w:rPr>
            </w:pPr>
            <w:r>
              <w:rPr>
                <w:rFonts w:hint="eastAsia"/>
                <w:color w:val="000000"/>
                <w:sz w:val="21"/>
              </w:rPr>
              <w:t>钢混防腐</w:t>
            </w:r>
          </w:p>
        </w:tc>
        <w:tc>
          <w:tcPr>
            <w:tcW w:w="997" w:type="dxa"/>
            <w:shd w:val="clear" w:color="auto" w:fill="auto"/>
            <w:vAlign w:val="center"/>
          </w:tcPr>
          <w:p>
            <w:pPr>
              <w:snapToGrid w:val="0"/>
              <w:jc w:val="center"/>
              <w:rPr>
                <w:rFonts w:hint="eastAsia"/>
                <w:color w:val="000000"/>
                <w:sz w:val="21"/>
              </w:rPr>
            </w:pPr>
            <w:r>
              <w:rPr>
                <w:rFonts w:hint="eastAsia"/>
                <w:color w:val="000000"/>
                <w:sz w:val="21"/>
              </w:rPr>
              <w:t>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4</w:t>
            </w:r>
          </w:p>
        </w:tc>
        <w:tc>
          <w:tcPr>
            <w:tcW w:w="2574" w:type="dxa"/>
            <w:shd w:val="clear" w:color="auto" w:fill="auto"/>
            <w:vAlign w:val="center"/>
          </w:tcPr>
          <w:p>
            <w:pPr>
              <w:snapToGrid w:val="0"/>
              <w:jc w:val="both"/>
              <w:rPr>
                <w:rFonts w:hint="eastAsia"/>
                <w:color w:val="000000"/>
                <w:sz w:val="21"/>
              </w:rPr>
            </w:pPr>
            <w:r>
              <w:rPr>
                <w:rFonts w:hint="eastAsia"/>
                <w:color w:val="000000"/>
                <w:sz w:val="21"/>
              </w:rPr>
              <w:t>压滤机</w:t>
            </w:r>
          </w:p>
        </w:tc>
        <w:tc>
          <w:tcPr>
            <w:tcW w:w="2441" w:type="dxa"/>
            <w:shd w:val="clear" w:color="auto" w:fill="auto"/>
            <w:vAlign w:val="center"/>
          </w:tcPr>
          <w:p>
            <w:pPr>
              <w:snapToGrid w:val="0"/>
              <w:jc w:val="center"/>
              <w:rPr>
                <w:rFonts w:hint="eastAsia"/>
                <w:color w:val="000000"/>
                <w:sz w:val="21"/>
              </w:rPr>
            </w:pPr>
            <w:r>
              <w:rPr>
                <w:rFonts w:hint="eastAsia"/>
                <w:color w:val="000000"/>
                <w:sz w:val="21"/>
              </w:rPr>
              <w:t>40m</w:t>
            </w:r>
            <w:r>
              <w:rPr>
                <w:rFonts w:hint="eastAsia"/>
                <w:color w:val="000000"/>
                <w:sz w:val="21"/>
                <w:vertAlign w:val="superscript"/>
              </w:rPr>
              <w:t>2</w:t>
            </w:r>
          </w:p>
        </w:tc>
        <w:tc>
          <w:tcPr>
            <w:tcW w:w="2169" w:type="dxa"/>
            <w:shd w:val="clear" w:color="auto" w:fill="auto"/>
            <w:vAlign w:val="center"/>
          </w:tcPr>
          <w:p>
            <w:pPr>
              <w:snapToGrid w:val="0"/>
              <w:jc w:val="center"/>
              <w:rPr>
                <w:rFonts w:hint="eastAsia"/>
                <w:color w:val="000000"/>
                <w:sz w:val="21"/>
              </w:rPr>
            </w:pPr>
            <w:r>
              <w:rPr>
                <w:rFonts w:hint="eastAsia"/>
                <w:color w:val="000000"/>
                <w:sz w:val="21"/>
              </w:rPr>
              <w:t>PP</w:t>
            </w:r>
          </w:p>
        </w:tc>
        <w:tc>
          <w:tcPr>
            <w:tcW w:w="997" w:type="dxa"/>
            <w:shd w:val="clear" w:color="auto" w:fill="auto"/>
            <w:vAlign w:val="center"/>
          </w:tcPr>
          <w:p>
            <w:pPr>
              <w:snapToGrid w:val="0"/>
              <w:jc w:val="center"/>
              <w:rPr>
                <w:rFonts w:hint="eastAsia"/>
                <w:color w:val="000000"/>
                <w:sz w:val="21"/>
              </w:rPr>
            </w:pPr>
            <w:r>
              <w:rPr>
                <w:rFonts w:hint="eastAsia"/>
                <w:color w:val="000000"/>
                <w:sz w:val="21"/>
              </w:rPr>
              <w:t>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5</w:t>
            </w:r>
          </w:p>
        </w:tc>
        <w:tc>
          <w:tcPr>
            <w:tcW w:w="2574" w:type="dxa"/>
            <w:shd w:val="clear" w:color="auto" w:fill="auto"/>
            <w:vAlign w:val="center"/>
          </w:tcPr>
          <w:p>
            <w:pPr>
              <w:snapToGrid w:val="0"/>
              <w:jc w:val="both"/>
              <w:rPr>
                <w:rFonts w:hint="eastAsia"/>
                <w:color w:val="000000"/>
                <w:sz w:val="21"/>
              </w:rPr>
            </w:pPr>
            <w:r>
              <w:rPr>
                <w:rFonts w:hint="eastAsia"/>
                <w:color w:val="000000"/>
                <w:sz w:val="21"/>
              </w:rPr>
              <w:t>压滤机</w:t>
            </w:r>
          </w:p>
        </w:tc>
        <w:tc>
          <w:tcPr>
            <w:tcW w:w="2441" w:type="dxa"/>
            <w:shd w:val="clear" w:color="auto" w:fill="auto"/>
            <w:vAlign w:val="center"/>
          </w:tcPr>
          <w:p>
            <w:pPr>
              <w:snapToGrid w:val="0"/>
              <w:jc w:val="center"/>
              <w:rPr>
                <w:rFonts w:hint="eastAsia"/>
                <w:color w:val="000000"/>
                <w:sz w:val="21"/>
              </w:rPr>
            </w:pPr>
            <w:r>
              <w:rPr>
                <w:rFonts w:hint="eastAsia"/>
                <w:color w:val="000000"/>
                <w:sz w:val="21"/>
              </w:rPr>
              <w:t>80m</w:t>
            </w:r>
            <w:r>
              <w:rPr>
                <w:rFonts w:hint="eastAsia"/>
                <w:color w:val="000000"/>
                <w:sz w:val="21"/>
                <w:vertAlign w:val="superscript"/>
              </w:rPr>
              <w:t>2</w:t>
            </w:r>
          </w:p>
        </w:tc>
        <w:tc>
          <w:tcPr>
            <w:tcW w:w="2169" w:type="dxa"/>
            <w:shd w:val="clear" w:color="auto" w:fill="auto"/>
            <w:vAlign w:val="center"/>
          </w:tcPr>
          <w:p>
            <w:pPr>
              <w:snapToGrid w:val="0"/>
              <w:jc w:val="center"/>
              <w:rPr>
                <w:rFonts w:hint="eastAsia"/>
                <w:color w:val="000000"/>
                <w:sz w:val="21"/>
              </w:rPr>
            </w:pPr>
            <w:r>
              <w:rPr>
                <w:rFonts w:hint="eastAsia"/>
                <w:color w:val="000000"/>
                <w:sz w:val="21"/>
              </w:rPr>
              <w:t>PP</w:t>
            </w:r>
          </w:p>
        </w:tc>
        <w:tc>
          <w:tcPr>
            <w:tcW w:w="997" w:type="dxa"/>
            <w:shd w:val="clear" w:color="auto" w:fill="auto"/>
            <w:vAlign w:val="center"/>
          </w:tcPr>
          <w:p>
            <w:pPr>
              <w:snapToGrid w:val="0"/>
              <w:jc w:val="center"/>
              <w:rPr>
                <w:rFonts w:hint="eastAsia"/>
                <w:color w:val="000000"/>
                <w:sz w:val="21"/>
              </w:rPr>
            </w:pPr>
            <w:r>
              <w:rPr>
                <w:rFonts w:hint="eastAsia"/>
                <w:color w:val="000000"/>
                <w:sz w:val="21"/>
              </w:rPr>
              <w:t>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6</w:t>
            </w:r>
          </w:p>
        </w:tc>
        <w:tc>
          <w:tcPr>
            <w:tcW w:w="2574" w:type="dxa"/>
            <w:shd w:val="clear" w:color="auto" w:fill="auto"/>
            <w:vAlign w:val="center"/>
          </w:tcPr>
          <w:p>
            <w:pPr>
              <w:snapToGrid w:val="0"/>
              <w:jc w:val="both"/>
              <w:rPr>
                <w:rFonts w:hint="eastAsia"/>
                <w:color w:val="000000"/>
                <w:sz w:val="21"/>
              </w:rPr>
            </w:pPr>
            <w:r>
              <w:rPr>
                <w:rFonts w:hint="eastAsia"/>
                <w:color w:val="000000"/>
                <w:sz w:val="21"/>
              </w:rPr>
              <w:t>搅拌机</w:t>
            </w:r>
          </w:p>
        </w:tc>
        <w:tc>
          <w:tcPr>
            <w:tcW w:w="2441" w:type="dxa"/>
            <w:shd w:val="clear" w:color="auto" w:fill="auto"/>
            <w:vAlign w:val="center"/>
          </w:tcPr>
          <w:p>
            <w:pPr>
              <w:snapToGrid w:val="0"/>
              <w:jc w:val="center"/>
              <w:rPr>
                <w:rFonts w:hint="eastAsia"/>
                <w:color w:val="000000"/>
                <w:sz w:val="21"/>
              </w:rPr>
            </w:pPr>
          </w:p>
        </w:tc>
        <w:tc>
          <w:tcPr>
            <w:tcW w:w="2169" w:type="dxa"/>
            <w:shd w:val="clear" w:color="auto" w:fill="auto"/>
            <w:vAlign w:val="center"/>
          </w:tcPr>
          <w:p>
            <w:pPr>
              <w:snapToGrid w:val="0"/>
              <w:jc w:val="center"/>
              <w:rPr>
                <w:rFonts w:hint="eastAsia"/>
                <w:color w:val="000000"/>
                <w:sz w:val="21"/>
              </w:rPr>
            </w:pPr>
            <w:r>
              <w:rPr>
                <w:rFonts w:hint="eastAsia"/>
                <w:color w:val="000000"/>
                <w:sz w:val="21"/>
              </w:rPr>
              <w:t>不锈钢</w:t>
            </w:r>
          </w:p>
        </w:tc>
        <w:tc>
          <w:tcPr>
            <w:tcW w:w="997" w:type="dxa"/>
            <w:shd w:val="clear" w:color="auto" w:fill="auto"/>
            <w:vAlign w:val="center"/>
          </w:tcPr>
          <w:p>
            <w:pPr>
              <w:snapToGrid w:val="0"/>
              <w:jc w:val="center"/>
              <w:rPr>
                <w:rFonts w:hint="eastAsia"/>
                <w:color w:val="000000"/>
                <w:sz w:val="21"/>
              </w:rPr>
            </w:pPr>
            <w:r>
              <w:rPr>
                <w:rFonts w:hint="eastAsia"/>
                <w:color w:val="000000"/>
                <w:sz w:val="21"/>
              </w:rPr>
              <w:t>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7</w:t>
            </w:r>
          </w:p>
        </w:tc>
        <w:tc>
          <w:tcPr>
            <w:tcW w:w="2574" w:type="dxa"/>
            <w:shd w:val="clear" w:color="auto" w:fill="auto"/>
            <w:vAlign w:val="center"/>
          </w:tcPr>
          <w:p>
            <w:pPr>
              <w:snapToGrid w:val="0"/>
              <w:jc w:val="both"/>
              <w:rPr>
                <w:rFonts w:hint="eastAsia"/>
                <w:color w:val="000000"/>
                <w:sz w:val="21"/>
              </w:rPr>
            </w:pPr>
            <w:r>
              <w:rPr>
                <w:rFonts w:hint="eastAsia"/>
                <w:color w:val="000000"/>
                <w:sz w:val="21"/>
              </w:rPr>
              <w:t>泵</w:t>
            </w:r>
          </w:p>
        </w:tc>
        <w:tc>
          <w:tcPr>
            <w:tcW w:w="2441" w:type="dxa"/>
            <w:shd w:val="clear" w:color="auto" w:fill="auto"/>
            <w:vAlign w:val="center"/>
          </w:tcPr>
          <w:p>
            <w:pPr>
              <w:snapToGrid w:val="0"/>
              <w:jc w:val="center"/>
              <w:rPr>
                <w:rFonts w:hint="eastAsia"/>
                <w:color w:val="000000"/>
                <w:sz w:val="21"/>
              </w:rPr>
            </w:pPr>
            <w:r>
              <w:rPr>
                <w:rFonts w:hint="eastAsia"/>
                <w:color w:val="000000"/>
                <w:sz w:val="21"/>
              </w:rPr>
              <w:t>50-32-250</w:t>
            </w:r>
          </w:p>
        </w:tc>
        <w:tc>
          <w:tcPr>
            <w:tcW w:w="2169" w:type="dxa"/>
            <w:shd w:val="clear" w:color="auto" w:fill="auto"/>
            <w:vAlign w:val="center"/>
          </w:tcPr>
          <w:p>
            <w:pPr>
              <w:snapToGrid w:val="0"/>
              <w:jc w:val="center"/>
              <w:rPr>
                <w:rFonts w:hint="eastAsia"/>
                <w:color w:val="000000"/>
                <w:sz w:val="21"/>
              </w:rPr>
            </w:pPr>
            <w:r>
              <w:rPr>
                <w:rFonts w:hint="eastAsia"/>
                <w:color w:val="000000"/>
                <w:sz w:val="21"/>
              </w:rPr>
              <w:t>玻璃钢</w:t>
            </w:r>
          </w:p>
        </w:tc>
        <w:tc>
          <w:tcPr>
            <w:tcW w:w="997" w:type="dxa"/>
            <w:shd w:val="clear" w:color="auto" w:fill="auto"/>
            <w:vAlign w:val="center"/>
          </w:tcPr>
          <w:p>
            <w:pPr>
              <w:snapToGrid w:val="0"/>
              <w:jc w:val="center"/>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8</w:t>
            </w:r>
          </w:p>
        </w:tc>
        <w:tc>
          <w:tcPr>
            <w:tcW w:w="2574" w:type="dxa"/>
            <w:shd w:val="clear" w:color="auto" w:fill="auto"/>
            <w:vAlign w:val="center"/>
          </w:tcPr>
          <w:p>
            <w:pPr>
              <w:snapToGrid w:val="0"/>
              <w:jc w:val="both"/>
              <w:rPr>
                <w:rFonts w:hint="eastAsia"/>
                <w:color w:val="000000"/>
                <w:sz w:val="21"/>
              </w:rPr>
            </w:pPr>
            <w:r>
              <w:rPr>
                <w:rFonts w:hint="eastAsia"/>
                <w:color w:val="000000"/>
                <w:sz w:val="21"/>
              </w:rPr>
              <w:t>泵</w:t>
            </w:r>
          </w:p>
        </w:tc>
        <w:tc>
          <w:tcPr>
            <w:tcW w:w="2441" w:type="dxa"/>
            <w:shd w:val="clear" w:color="auto" w:fill="auto"/>
            <w:vAlign w:val="center"/>
          </w:tcPr>
          <w:p>
            <w:pPr>
              <w:snapToGrid w:val="0"/>
              <w:jc w:val="center"/>
              <w:rPr>
                <w:rFonts w:hint="eastAsia"/>
                <w:color w:val="000000"/>
                <w:sz w:val="21"/>
              </w:rPr>
            </w:pPr>
            <w:r>
              <w:rPr>
                <w:rFonts w:hint="eastAsia"/>
                <w:color w:val="000000"/>
                <w:sz w:val="21"/>
              </w:rPr>
              <w:t>50-32-200</w:t>
            </w:r>
          </w:p>
        </w:tc>
        <w:tc>
          <w:tcPr>
            <w:tcW w:w="2169" w:type="dxa"/>
            <w:shd w:val="clear" w:color="auto" w:fill="auto"/>
            <w:vAlign w:val="center"/>
          </w:tcPr>
          <w:p>
            <w:pPr>
              <w:snapToGrid w:val="0"/>
              <w:jc w:val="center"/>
              <w:rPr>
                <w:rFonts w:hint="eastAsia"/>
                <w:color w:val="000000"/>
                <w:sz w:val="21"/>
              </w:rPr>
            </w:pPr>
            <w:r>
              <w:rPr>
                <w:rFonts w:hint="eastAsia"/>
                <w:color w:val="000000"/>
                <w:sz w:val="21"/>
              </w:rPr>
              <w:t>玻璃钢</w:t>
            </w:r>
          </w:p>
        </w:tc>
        <w:tc>
          <w:tcPr>
            <w:tcW w:w="997" w:type="dxa"/>
            <w:shd w:val="clear" w:color="auto" w:fill="auto"/>
            <w:vAlign w:val="center"/>
          </w:tcPr>
          <w:p>
            <w:pPr>
              <w:snapToGrid w:val="0"/>
              <w:jc w:val="center"/>
              <w:rPr>
                <w:rFonts w:hint="eastAsia"/>
                <w:color w:val="000000"/>
                <w:sz w:val="21"/>
              </w:rPr>
            </w:pPr>
            <w:r>
              <w:rPr>
                <w:rFonts w:hint="eastAsia"/>
                <w:color w:val="000000"/>
                <w:sz w:val="21"/>
              </w:rPr>
              <w:t>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9" w:type="dxa"/>
            <w:shd w:val="clear" w:color="auto" w:fill="auto"/>
            <w:vAlign w:val="center"/>
          </w:tcPr>
          <w:p>
            <w:pPr>
              <w:snapToGrid w:val="0"/>
              <w:ind w:left="0" w:leftChars="0" w:firstLine="0" w:firstLineChars="0"/>
              <w:jc w:val="both"/>
              <w:rPr>
                <w:color w:val="000000"/>
                <w:sz w:val="21"/>
              </w:rPr>
            </w:pPr>
            <w:r>
              <w:rPr>
                <w:color w:val="000000"/>
                <w:sz w:val="21"/>
              </w:rPr>
              <w:t>9</w:t>
            </w:r>
          </w:p>
        </w:tc>
        <w:tc>
          <w:tcPr>
            <w:tcW w:w="2574" w:type="dxa"/>
            <w:shd w:val="clear" w:color="auto" w:fill="auto"/>
            <w:vAlign w:val="center"/>
          </w:tcPr>
          <w:p>
            <w:pPr>
              <w:snapToGrid w:val="0"/>
              <w:ind w:left="0" w:leftChars="0" w:firstLine="420" w:firstLineChars="200"/>
              <w:jc w:val="both"/>
              <w:rPr>
                <w:rFonts w:hint="eastAsia"/>
                <w:color w:val="000000"/>
                <w:sz w:val="21"/>
              </w:rPr>
            </w:pPr>
            <w:r>
              <w:rPr>
                <w:rFonts w:hint="eastAsia"/>
                <w:color w:val="000000"/>
                <w:sz w:val="21"/>
              </w:rPr>
              <w:t>石墨碳板蒸发炉</w:t>
            </w:r>
          </w:p>
        </w:tc>
        <w:tc>
          <w:tcPr>
            <w:tcW w:w="2441" w:type="dxa"/>
            <w:shd w:val="clear" w:color="auto" w:fill="auto"/>
            <w:vAlign w:val="center"/>
          </w:tcPr>
          <w:p>
            <w:pPr>
              <w:snapToGrid w:val="0"/>
              <w:jc w:val="center"/>
              <w:rPr>
                <w:rFonts w:hint="eastAsia"/>
                <w:color w:val="000000"/>
                <w:sz w:val="21"/>
              </w:rPr>
            </w:pPr>
            <w:r>
              <w:rPr>
                <w:rFonts w:hint="eastAsia"/>
                <w:color w:val="000000"/>
                <w:sz w:val="21"/>
              </w:rPr>
              <w:t>0.8m×20m</w:t>
            </w:r>
          </w:p>
        </w:tc>
        <w:tc>
          <w:tcPr>
            <w:tcW w:w="2169" w:type="dxa"/>
            <w:shd w:val="clear" w:color="auto" w:fill="auto"/>
            <w:vAlign w:val="center"/>
          </w:tcPr>
          <w:p>
            <w:pPr>
              <w:snapToGrid w:val="0"/>
              <w:jc w:val="center"/>
              <w:rPr>
                <w:rFonts w:hint="eastAsia"/>
                <w:color w:val="000000"/>
                <w:sz w:val="21"/>
              </w:rPr>
            </w:pPr>
            <w:r>
              <w:rPr>
                <w:rFonts w:hint="eastAsia"/>
                <w:color w:val="000000"/>
                <w:sz w:val="21"/>
              </w:rPr>
              <w:t>石墨</w:t>
            </w:r>
          </w:p>
        </w:tc>
        <w:tc>
          <w:tcPr>
            <w:tcW w:w="997" w:type="dxa"/>
            <w:shd w:val="clear" w:color="auto" w:fill="auto"/>
            <w:vAlign w:val="center"/>
          </w:tcPr>
          <w:p>
            <w:pPr>
              <w:snapToGrid w:val="0"/>
              <w:jc w:val="center"/>
              <w:rPr>
                <w:rFonts w:hint="eastAsia"/>
                <w:color w:val="000000"/>
                <w:sz w:val="21"/>
              </w:rPr>
            </w:pPr>
            <w:r>
              <w:rPr>
                <w:rFonts w:hint="eastAsia"/>
                <w:color w:val="000000"/>
                <w:sz w:val="21"/>
              </w:rPr>
              <w:t>1</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919" w:type="dxa"/>
            <w:shd w:val="clear" w:color="auto" w:fill="auto"/>
            <w:vAlign w:val="center"/>
          </w:tcPr>
          <w:p>
            <w:pPr>
              <w:snapToGrid w:val="0"/>
              <w:ind w:left="0" w:leftChars="0" w:firstLine="0" w:firstLineChars="0"/>
              <w:jc w:val="both"/>
              <w:rPr>
                <w:rFonts w:hint="eastAsia"/>
                <w:color w:val="000000"/>
                <w:sz w:val="21"/>
              </w:rPr>
            </w:pPr>
            <w:r>
              <w:rPr>
                <w:rFonts w:hint="eastAsia"/>
                <w:color w:val="000000"/>
                <w:sz w:val="21"/>
              </w:rPr>
              <w:t>10</w:t>
            </w:r>
          </w:p>
        </w:tc>
        <w:tc>
          <w:tcPr>
            <w:tcW w:w="2574" w:type="dxa"/>
            <w:shd w:val="clear" w:color="auto" w:fill="auto"/>
            <w:vAlign w:val="center"/>
          </w:tcPr>
          <w:p>
            <w:pPr>
              <w:snapToGrid w:val="0"/>
              <w:ind w:left="0" w:leftChars="0" w:firstLine="420" w:firstLineChars="200"/>
              <w:jc w:val="both"/>
              <w:rPr>
                <w:rFonts w:hint="eastAsia"/>
                <w:color w:val="000000"/>
                <w:sz w:val="21"/>
              </w:rPr>
            </w:pPr>
            <w:r>
              <w:rPr>
                <w:rFonts w:hint="eastAsia"/>
                <w:color w:val="000000"/>
                <w:sz w:val="21"/>
              </w:rPr>
              <w:t>盐酸</w:t>
            </w:r>
            <w:r>
              <w:rPr>
                <w:rFonts w:hint="eastAsia"/>
                <w:color w:val="000000"/>
                <w:sz w:val="21"/>
                <w:lang w:eastAsia="zh-CN"/>
              </w:rPr>
              <w:t>立</w:t>
            </w:r>
            <w:r>
              <w:rPr>
                <w:rFonts w:hint="eastAsia"/>
                <w:color w:val="000000"/>
                <w:sz w:val="21"/>
              </w:rPr>
              <w:t>罐</w:t>
            </w:r>
          </w:p>
        </w:tc>
        <w:tc>
          <w:tcPr>
            <w:tcW w:w="2441" w:type="dxa"/>
            <w:shd w:val="clear" w:color="auto" w:fill="auto"/>
            <w:vAlign w:val="center"/>
          </w:tcPr>
          <w:p>
            <w:pPr>
              <w:snapToGrid w:val="0"/>
              <w:ind w:left="0" w:leftChars="0" w:firstLine="0" w:firstLineChars="0"/>
              <w:jc w:val="center"/>
              <w:rPr>
                <w:rFonts w:hint="eastAsia"/>
                <w:color w:val="000000"/>
                <w:sz w:val="21"/>
                <w:vertAlign w:val="superscript"/>
                <w:lang w:val="en-US" w:eastAsia="zh-CN"/>
              </w:rPr>
            </w:pPr>
            <w:r>
              <w:rPr>
                <w:rFonts w:hint="eastAsia"/>
                <w:color w:val="000000"/>
                <w:sz w:val="21"/>
                <w:lang w:val="en-US" w:eastAsia="zh-CN"/>
              </w:rPr>
              <w:t>2个</w:t>
            </w:r>
            <w:r>
              <w:rPr>
                <w:rFonts w:hint="eastAsia"/>
                <w:color w:val="000000"/>
                <w:sz w:val="21"/>
              </w:rPr>
              <w:t>1</w:t>
            </w:r>
            <w:r>
              <w:rPr>
                <w:rFonts w:hint="eastAsia"/>
                <w:color w:val="000000"/>
                <w:sz w:val="21"/>
                <w:lang w:val="en-US" w:eastAsia="zh-CN"/>
              </w:rPr>
              <w:t>7</w:t>
            </w:r>
            <w:r>
              <w:rPr>
                <w:rFonts w:hint="eastAsia"/>
                <w:color w:val="000000"/>
                <w:sz w:val="21"/>
              </w:rPr>
              <w:t>0m</w:t>
            </w:r>
            <w:r>
              <w:rPr>
                <w:rFonts w:hint="eastAsia"/>
                <w:color w:val="000000"/>
                <w:sz w:val="21"/>
                <w:vertAlign w:val="superscript"/>
              </w:rPr>
              <w:t>3</w:t>
            </w:r>
          </w:p>
          <w:p>
            <w:pPr>
              <w:snapToGrid w:val="0"/>
              <w:ind w:left="0" w:leftChars="0" w:firstLine="0" w:firstLineChars="0"/>
              <w:jc w:val="center"/>
              <w:rPr>
                <w:rFonts w:hint="eastAsia"/>
                <w:color w:val="000000"/>
                <w:sz w:val="21"/>
                <w:vertAlign w:val="superscript"/>
              </w:rPr>
            </w:pPr>
            <w:r>
              <w:rPr>
                <w:rFonts w:hint="eastAsia"/>
                <w:color w:val="000000"/>
                <w:sz w:val="21"/>
                <w:lang w:val="en-US" w:eastAsia="zh-CN"/>
              </w:rPr>
              <w:t>1个</w:t>
            </w:r>
            <w:r>
              <w:rPr>
                <w:rFonts w:hint="eastAsia"/>
                <w:color w:val="000000"/>
                <w:sz w:val="21"/>
              </w:rPr>
              <w:t>1</w:t>
            </w:r>
            <w:r>
              <w:rPr>
                <w:rFonts w:hint="eastAsia"/>
                <w:color w:val="000000"/>
                <w:sz w:val="21"/>
                <w:lang w:val="en-US" w:eastAsia="zh-CN"/>
              </w:rPr>
              <w:t>2</w:t>
            </w:r>
            <w:r>
              <w:rPr>
                <w:rFonts w:hint="eastAsia"/>
                <w:color w:val="000000"/>
                <w:sz w:val="21"/>
              </w:rPr>
              <w:t>0m</w:t>
            </w:r>
            <w:r>
              <w:rPr>
                <w:rFonts w:hint="eastAsia"/>
                <w:color w:val="000000"/>
                <w:sz w:val="21"/>
                <w:vertAlign w:val="superscript"/>
              </w:rPr>
              <w:t>3</w:t>
            </w:r>
          </w:p>
          <w:p>
            <w:pPr>
              <w:snapToGrid w:val="0"/>
              <w:ind w:left="0" w:leftChars="0" w:firstLine="420" w:firstLineChars="200"/>
              <w:jc w:val="both"/>
              <w:rPr>
                <w:rFonts w:hint="eastAsia"/>
                <w:color w:val="000000"/>
                <w:sz w:val="21"/>
                <w:vertAlign w:val="superscript"/>
              </w:rPr>
            </w:pPr>
            <w:r>
              <w:rPr>
                <w:rFonts w:hint="eastAsia"/>
                <w:color w:val="000000"/>
                <w:sz w:val="21"/>
                <w:lang w:val="en-US" w:eastAsia="zh-CN"/>
              </w:rPr>
              <w:t>1个8</w:t>
            </w:r>
            <w:r>
              <w:rPr>
                <w:rFonts w:hint="eastAsia"/>
                <w:color w:val="000000"/>
                <w:sz w:val="21"/>
              </w:rPr>
              <w:t>0m</w:t>
            </w:r>
            <w:r>
              <w:rPr>
                <w:rFonts w:hint="eastAsia"/>
                <w:color w:val="000000"/>
                <w:sz w:val="21"/>
                <w:vertAlign w:val="superscript"/>
              </w:rPr>
              <w:t>3</w:t>
            </w:r>
          </w:p>
          <w:p>
            <w:pPr>
              <w:snapToGrid w:val="0"/>
              <w:ind w:left="0" w:leftChars="0" w:firstLine="420" w:firstLineChars="200"/>
              <w:jc w:val="both"/>
              <w:rPr>
                <w:rFonts w:hint="eastAsia"/>
                <w:color w:val="000000"/>
                <w:sz w:val="21"/>
                <w:vertAlign w:val="superscript"/>
                <w:lang w:val="en-US" w:eastAsia="zh-CN"/>
              </w:rPr>
            </w:pPr>
            <w:r>
              <w:rPr>
                <w:rFonts w:hint="eastAsia"/>
                <w:color w:val="000000"/>
                <w:sz w:val="21"/>
                <w:lang w:val="en-US" w:eastAsia="zh-CN"/>
              </w:rPr>
              <w:t>1个30</w:t>
            </w:r>
            <w:r>
              <w:rPr>
                <w:rFonts w:hint="eastAsia"/>
                <w:color w:val="000000"/>
                <w:sz w:val="21"/>
              </w:rPr>
              <w:t>0m</w:t>
            </w:r>
            <w:r>
              <w:rPr>
                <w:rFonts w:hint="eastAsia"/>
                <w:color w:val="000000"/>
                <w:sz w:val="21"/>
                <w:vertAlign w:val="superscript"/>
              </w:rPr>
              <w:t>3</w:t>
            </w:r>
          </w:p>
        </w:tc>
        <w:tc>
          <w:tcPr>
            <w:tcW w:w="2169" w:type="dxa"/>
            <w:shd w:val="clear" w:color="auto" w:fill="auto"/>
            <w:vAlign w:val="center"/>
          </w:tcPr>
          <w:p>
            <w:pPr>
              <w:snapToGrid w:val="0"/>
              <w:jc w:val="center"/>
              <w:rPr>
                <w:rFonts w:hint="eastAsia"/>
                <w:color w:val="000000"/>
                <w:sz w:val="21"/>
              </w:rPr>
            </w:pPr>
            <w:r>
              <w:rPr>
                <w:rFonts w:hint="eastAsia"/>
                <w:color w:val="000000"/>
                <w:sz w:val="21"/>
              </w:rPr>
              <w:t>钢混防腐</w:t>
            </w:r>
          </w:p>
        </w:tc>
        <w:tc>
          <w:tcPr>
            <w:tcW w:w="997" w:type="dxa"/>
            <w:shd w:val="clear" w:color="auto" w:fill="auto"/>
            <w:vAlign w:val="center"/>
          </w:tcPr>
          <w:p>
            <w:pPr>
              <w:snapToGrid w:val="0"/>
              <w:jc w:val="center"/>
              <w:rPr>
                <w:rFonts w:hint="eastAsia" w:eastAsia="仿宋_GB2312"/>
                <w:color w:val="000000"/>
                <w:sz w:val="21"/>
                <w:lang w:eastAsia="zh-CN"/>
              </w:rPr>
            </w:pPr>
            <w:r>
              <w:rPr>
                <w:rFonts w:hint="eastAsia"/>
                <w:color w:val="000000"/>
                <w:sz w:val="21"/>
                <w:lang w:val="en-US" w:eastAsia="zh-CN"/>
              </w:rPr>
              <w:t>5</w:t>
            </w:r>
          </w:p>
        </w:tc>
      </w:tr>
    </w:tbl>
    <w:p>
      <w:pPr>
        <w:spacing w:line="500" w:lineRule="exact"/>
        <w:ind w:left="0" w:leftChars="0" w:right="280" w:firstLine="0" w:firstLineChars="0"/>
        <w:rPr>
          <w:rFonts w:ascii="仿宋" w:hAnsi="仿宋" w:eastAsia="仿宋"/>
          <w:b/>
          <w:szCs w:val="28"/>
          <w:highlight w:val="yellow"/>
        </w:rPr>
      </w:pPr>
    </w:p>
    <w:p>
      <w:pPr>
        <w:pStyle w:val="132"/>
        <w:rPr>
          <w:rFonts w:ascii="仿宋" w:hAnsi="仿宋" w:eastAsia="仿宋"/>
        </w:rPr>
      </w:pPr>
      <w:bookmarkStart w:id="124" w:name="_Toc7432"/>
      <w:bookmarkStart w:id="125" w:name="_Toc359419362"/>
      <w:bookmarkStart w:id="126" w:name="_Toc358716431"/>
      <w:r>
        <w:rPr>
          <w:rFonts w:hint="eastAsia" w:ascii="仿宋" w:hAnsi="仿宋" w:eastAsia="仿宋"/>
        </w:rPr>
        <w:t>2.2.4公辅设施情况</w:t>
      </w:r>
      <w:bookmarkEnd w:id="124"/>
    </w:p>
    <w:p>
      <w:pPr>
        <w:spacing w:line="500" w:lineRule="exact"/>
        <w:ind w:left="0" w:leftChars="0" w:right="0" w:rightChars="0" w:firstLine="0" w:firstLineChars="0"/>
        <w:jc w:val="center"/>
        <w:rPr>
          <w:rFonts w:ascii="仿宋" w:hAnsi="仿宋" w:eastAsia="仿宋"/>
          <w:b/>
          <w:sz w:val="24"/>
        </w:rPr>
      </w:pPr>
      <w:r>
        <w:rPr>
          <w:rFonts w:ascii="仿宋" w:hAnsi="仿宋" w:eastAsia="仿宋"/>
          <w:b/>
          <w:sz w:val="24"/>
        </w:rPr>
        <w:t>表2.2-</w:t>
      </w:r>
      <w:r>
        <w:rPr>
          <w:rFonts w:hint="eastAsia" w:ascii="仿宋" w:hAnsi="仿宋" w:eastAsia="仿宋"/>
          <w:b/>
          <w:sz w:val="24"/>
          <w:lang w:val="en-US" w:eastAsia="zh-CN"/>
        </w:rPr>
        <w:t>6</w:t>
      </w:r>
      <w:r>
        <w:rPr>
          <w:rFonts w:ascii="仿宋" w:hAnsi="仿宋" w:eastAsia="仿宋"/>
          <w:b/>
          <w:sz w:val="24"/>
        </w:rPr>
        <w:t xml:space="preserve"> </w:t>
      </w:r>
      <w:r>
        <w:rPr>
          <w:rFonts w:hint="eastAsia" w:ascii="仿宋" w:hAnsi="仿宋" w:eastAsia="仿宋"/>
          <w:b/>
          <w:sz w:val="24"/>
        </w:rPr>
        <w:t>厂区内公辅设施一览表</w:t>
      </w:r>
    </w:p>
    <w:tbl>
      <w:tblPr>
        <w:tblStyle w:val="39"/>
        <w:tblW w:w="9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899"/>
        <w:gridCol w:w="6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20" w:type="dxa"/>
            <w:vAlign w:val="center"/>
          </w:tcPr>
          <w:p>
            <w:pPr>
              <w:snapToGrid w:val="0"/>
              <w:spacing w:line="240" w:lineRule="atLeast"/>
              <w:ind w:leftChars="0" w:right="0" w:rightChars="0" w:firstLine="0" w:firstLineChars="0"/>
              <w:jc w:val="center"/>
              <w:rPr>
                <w:rFonts w:ascii="仿宋" w:hAnsi="仿宋" w:eastAsia="仿宋"/>
                <w:b/>
                <w:sz w:val="21"/>
                <w:szCs w:val="21"/>
              </w:rPr>
            </w:pPr>
            <w:r>
              <w:rPr>
                <w:rFonts w:ascii="仿宋" w:hAnsi="仿宋" w:eastAsia="仿宋"/>
                <w:b/>
                <w:sz w:val="21"/>
                <w:szCs w:val="21"/>
              </w:rPr>
              <w:t>类别</w:t>
            </w:r>
          </w:p>
        </w:tc>
        <w:tc>
          <w:tcPr>
            <w:tcW w:w="1899" w:type="dxa"/>
            <w:vAlign w:val="center"/>
          </w:tcPr>
          <w:p>
            <w:pPr>
              <w:snapToGrid w:val="0"/>
              <w:spacing w:line="240" w:lineRule="atLeast"/>
              <w:ind w:leftChars="0" w:right="0" w:rightChars="0" w:firstLine="0" w:firstLineChars="0"/>
              <w:jc w:val="center"/>
              <w:rPr>
                <w:rFonts w:ascii="仿宋" w:hAnsi="仿宋" w:eastAsia="仿宋"/>
                <w:b/>
                <w:sz w:val="21"/>
                <w:szCs w:val="21"/>
              </w:rPr>
            </w:pPr>
            <w:r>
              <w:rPr>
                <w:rFonts w:ascii="仿宋" w:hAnsi="仿宋" w:eastAsia="仿宋"/>
                <w:b/>
                <w:sz w:val="21"/>
                <w:szCs w:val="21"/>
              </w:rPr>
              <w:t>建设名称</w:t>
            </w:r>
          </w:p>
        </w:tc>
        <w:tc>
          <w:tcPr>
            <w:tcW w:w="6111" w:type="dxa"/>
            <w:vAlign w:val="center"/>
          </w:tcPr>
          <w:p>
            <w:pPr>
              <w:snapToGrid w:val="0"/>
              <w:spacing w:line="240" w:lineRule="atLeast"/>
              <w:ind w:leftChars="0" w:right="0" w:rightChars="0" w:firstLine="0" w:firstLineChars="0"/>
              <w:jc w:val="center"/>
              <w:rPr>
                <w:rFonts w:ascii="仿宋" w:hAnsi="仿宋" w:eastAsia="仿宋"/>
                <w:b/>
                <w:sz w:val="21"/>
                <w:szCs w:val="21"/>
              </w:rPr>
            </w:pPr>
            <w:r>
              <w:rPr>
                <w:rFonts w:ascii="仿宋" w:hAnsi="仿宋" w:eastAsia="仿宋"/>
                <w:b/>
                <w:sz w:val="21"/>
                <w:szCs w:val="21"/>
              </w:rPr>
              <w:t>设 计 能 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restart"/>
            <w:vAlign w:val="center"/>
          </w:tcPr>
          <w:p>
            <w:pPr>
              <w:spacing w:line="240" w:lineRule="atLeast"/>
              <w:ind w:left="0" w:leftChars="0" w:right="0" w:rightChars="0" w:firstLine="0" w:firstLineChars="0"/>
              <w:jc w:val="both"/>
              <w:rPr>
                <w:rFonts w:ascii="仿宋" w:hAnsi="仿宋" w:eastAsia="仿宋"/>
                <w:sz w:val="21"/>
                <w:szCs w:val="21"/>
              </w:rPr>
            </w:pPr>
            <w:r>
              <w:rPr>
                <w:rFonts w:ascii="仿宋" w:hAnsi="仿宋" w:eastAsia="仿宋"/>
                <w:sz w:val="21"/>
                <w:szCs w:val="21"/>
              </w:rPr>
              <w:t>贮运工程</w:t>
            </w: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hint="eastAsia" w:ascii="仿宋" w:hAnsi="仿宋" w:eastAsia="仿宋"/>
                <w:sz w:val="21"/>
                <w:szCs w:val="21"/>
              </w:rPr>
              <w:t>原料贮存间</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ascii="仿宋" w:hAnsi="仿宋" w:eastAsia="仿宋"/>
                <w:sz w:val="21"/>
                <w:szCs w:val="21"/>
              </w:rPr>
              <w:t>用于存放</w:t>
            </w:r>
            <w:r>
              <w:rPr>
                <w:rFonts w:hint="eastAsia" w:ascii="仿宋" w:hAnsi="仿宋" w:eastAsia="仿宋"/>
                <w:sz w:val="21"/>
                <w:szCs w:val="21"/>
              </w:rPr>
              <w:t>生产原料，包括外购原料和自产原料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420" w:type="dxa"/>
            <w:vMerge w:val="continue"/>
            <w:vAlign w:val="center"/>
          </w:tcPr>
          <w:p>
            <w:pPr>
              <w:spacing w:line="240" w:lineRule="atLeast"/>
              <w:ind w:leftChars="0" w:right="0" w:rightChars="0" w:firstLine="0" w:firstLineChars="0"/>
              <w:jc w:val="center"/>
              <w:rPr>
                <w:rFonts w:ascii="仿宋" w:hAnsi="仿宋" w:eastAsia="仿宋"/>
                <w:sz w:val="21"/>
                <w:szCs w:val="21"/>
              </w:rPr>
            </w:pPr>
          </w:p>
        </w:tc>
        <w:tc>
          <w:tcPr>
            <w:tcW w:w="1899" w:type="dxa"/>
            <w:vAlign w:val="center"/>
          </w:tcPr>
          <w:p>
            <w:pPr>
              <w:spacing w:line="240" w:lineRule="atLeast"/>
              <w:ind w:left="100" w:leftChars="0" w:right="0" w:rightChars="0" w:firstLine="0" w:firstLineChars="0"/>
              <w:jc w:val="center"/>
              <w:rPr>
                <w:rFonts w:ascii="仿宋" w:hAnsi="仿宋" w:eastAsia="仿宋"/>
                <w:sz w:val="21"/>
                <w:szCs w:val="21"/>
              </w:rPr>
            </w:pPr>
            <w:r>
              <w:rPr>
                <w:rFonts w:ascii="仿宋" w:hAnsi="仿宋" w:eastAsia="仿宋"/>
                <w:sz w:val="21"/>
                <w:szCs w:val="21"/>
              </w:rPr>
              <w:t>危废</w:t>
            </w:r>
            <w:r>
              <w:rPr>
                <w:rFonts w:hint="eastAsia" w:ascii="仿宋" w:hAnsi="仿宋" w:eastAsia="仿宋"/>
                <w:sz w:val="21"/>
                <w:szCs w:val="21"/>
                <w:lang w:eastAsia="zh-CN"/>
              </w:rPr>
              <w:t>仓</w:t>
            </w:r>
            <w:r>
              <w:rPr>
                <w:rFonts w:hint="eastAsia" w:ascii="仿宋" w:hAnsi="仿宋" w:eastAsia="仿宋"/>
                <w:sz w:val="21"/>
                <w:szCs w:val="21"/>
              </w:rPr>
              <w:t>库</w:t>
            </w:r>
          </w:p>
        </w:tc>
        <w:tc>
          <w:tcPr>
            <w:tcW w:w="6111" w:type="dxa"/>
            <w:vAlign w:val="center"/>
          </w:tcPr>
          <w:p>
            <w:pPr>
              <w:spacing w:line="240" w:lineRule="atLeast"/>
              <w:ind w:left="100" w:leftChars="0" w:right="0" w:rightChars="0" w:firstLine="0" w:firstLineChars="0"/>
              <w:rPr>
                <w:rFonts w:ascii="仿宋" w:hAnsi="仿宋" w:eastAsia="仿宋"/>
                <w:sz w:val="21"/>
                <w:szCs w:val="21"/>
              </w:rPr>
            </w:pPr>
            <w:r>
              <w:rPr>
                <w:rFonts w:ascii="仿宋" w:hAnsi="仿宋" w:eastAsia="仿宋"/>
                <w:sz w:val="21"/>
                <w:szCs w:val="21"/>
              </w:rPr>
              <w:t>主要堆放</w:t>
            </w:r>
            <w:r>
              <w:rPr>
                <w:rFonts w:hint="eastAsia" w:ascii="仿宋" w:hAnsi="仿宋" w:eastAsia="仿宋"/>
                <w:sz w:val="21"/>
                <w:szCs w:val="21"/>
                <w:lang w:eastAsia="zh-CN"/>
              </w:rPr>
              <w:t>反应灰</w:t>
            </w:r>
            <w:r>
              <w:rPr>
                <w:rFonts w:hint="eastAsia" w:ascii="仿宋" w:hAnsi="仿宋" w:eastAsia="仿宋"/>
                <w:sz w:val="21"/>
                <w:szCs w:val="21"/>
              </w:rPr>
              <w:t>渣</w:t>
            </w:r>
            <w:r>
              <w:rPr>
                <w:rFonts w:hint="eastAsia" w:ascii="仿宋" w:hAnsi="仿宋" w:eastAsia="仿宋"/>
                <w:sz w:val="21"/>
                <w:szCs w:val="21"/>
                <w:lang w:eastAsia="zh-CN"/>
              </w:rPr>
              <w:t>、净化灰渣、净出压滤灰渣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20" w:type="dxa"/>
            <w:vMerge w:val="restart"/>
            <w:shd w:val="clear" w:color="auto" w:fill="auto"/>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公用工程及辅助工程</w:t>
            </w: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供水</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hint="eastAsia" w:ascii="仿宋" w:hAnsi="仿宋" w:eastAsia="仿宋"/>
                <w:sz w:val="21"/>
                <w:szCs w:val="21"/>
              </w:rPr>
              <w:t>利用城市自来水管网，用水量</w:t>
            </w:r>
            <w:r>
              <w:rPr>
                <w:rFonts w:hint="eastAsia" w:ascii="仿宋" w:hAnsi="仿宋" w:eastAsia="仿宋"/>
                <w:sz w:val="21"/>
                <w:szCs w:val="21"/>
                <w:lang w:val="en-US" w:eastAsia="zh-CN"/>
              </w:rPr>
              <w:t>8595</w:t>
            </w:r>
            <w:r>
              <w:rPr>
                <w:rFonts w:hint="eastAsia" w:ascii="仿宋" w:hAnsi="仿宋" w:eastAsia="仿宋"/>
                <w:sz w:val="21"/>
                <w:szCs w:val="21"/>
              </w:rPr>
              <w:t>m</w:t>
            </w:r>
            <w:r>
              <w:rPr>
                <w:rFonts w:hint="eastAsia" w:ascii="仿宋" w:hAnsi="仿宋" w:eastAsia="仿宋"/>
                <w:sz w:val="21"/>
                <w:szCs w:val="21"/>
                <w:vertAlign w:val="superscript"/>
              </w:rPr>
              <w:t>3</w:t>
            </w:r>
            <w:r>
              <w:rPr>
                <w:rFonts w:hint="eastAsia" w:ascii="仿宋" w:hAnsi="仿宋" w:eastAsia="仿宋"/>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shd w:val="clear" w:color="auto" w:fill="auto"/>
            <w:vAlign w:val="center"/>
          </w:tcPr>
          <w:p>
            <w:pPr>
              <w:spacing w:line="240" w:lineRule="atLeast"/>
              <w:ind w:leftChars="0" w:right="0" w:rightChars="0" w:firstLine="0" w:firstLineChars="0"/>
              <w:jc w:val="center"/>
              <w:rPr>
                <w:rFonts w:ascii="仿宋" w:hAnsi="仿宋" w:eastAsia="仿宋"/>
                <w:sz w:val="21"/>
                <w:szCs w:val="21"/>
              </w:rPr>
            </w:pP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排水</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ascii="仿宋" w:hAnsi="仿宋" w:eastAsia="仿宋"/>
                <w:sz w:val="21"/>
                <w:szCs w:val="21"/>
              </w:rPr>
              <w:t>工艺废水</w:t>
            </w:r>
            <w:r>
              <w:rPr>
                <w:rFonts w:hint="eastAsia" w:ascii="仿宋" w:hAnsi="仿宋" w:eastAsia="仿宋"/>
                <w:sz w:val="21"/>
                <w:szCs w:val="21"/>
              </w:rPr>
              <w:t>均回用于各个工序，不外排。</w:t>
            </w:r>
            <w:r>
              <w:rPr>
                <w:rFonts w:ascii="仿宋" w:hAnsi="仿宋" w:eastAsia="仿宋"/>
                <w:sz w:val="21"/>
                <w:szCs w:val="21"/>
              </w:rPr>
              <w:t>生活污水</w:t>
            </w:r>
            <w:r>
              <w:rPr>
                <w:rFonts w:hint="eastAsia" w:ascii="仿宋" w:hAnsi="仿宋" w:eastAsia="仿宋"/>
                <w:sz w:val="21"/>
                <w:szCs w:val="21"/>
              </w:rPr>
              <w:t>经生化处理后达到《污水综合排放标准》（GB8978-1996）表4 中的一级排放标准后，经新干盐化工业城污水管网排入赣江。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shd w:val="clear" w:color="auto" w:fill="auto"/>
            <w:vAlign w:val="center"/>
          </w:tcPr>
          <w:p>
            <w:pPr>
              <w:spacing w:line="240" w:lineRule="atLeast"/>
              <w:ind w:leftChars="0" w:right="0" w:rightChars="0" w:firstLine="0" w:firstLineChars="0"/>
              <w:jc w:val="center"/>
              <w:rPr>
                <w:rFonts w:ascii="仿宋" w:hAnsi="仿宋" w:eastAsia="仿宋"/>
                <w:color w:val="FF0000"/>
                <w:sz w:val="21"/>
                <w:szCs w:val="21"/>
              </w:rPr>
            </w:pP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供电</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ascii="仿宋" w:hAnsi="仿宋" w:eastAsia="仿宋"/>
                <w:sz w:val="21"/>
                <w:szCs w:val="21"/>
              </w:rPr>
              <w:t>用电量估算为</w:t>
            </w:r>
            <w:r>
              <w:rPr>
                <w:rFonts w:hint="eastAsia" w:ascii="仿宋" w:hAnsi="仿宋" w:eastAsia="仿宋"/>
                <w:sz w:val="21"/>
                <w:szCs w:val="21"/>
                <w:lang w:val="en-US" w:eastAsia="zh-CN"/>
              </w:rPr>
              <w:t>80000</w:t>
            </w:r>
            <w:r>
              <w:rPr>
                <w:rFonts w:hint="eastAsia" w:ascii="仿宋" w:hAnsi="仿宋" w:eastAsia="仿宋"/>
                <w:sz w:val="21"/>
                <w:szCs w:val="21"/>
                <w:vertAlign w:val="superscript"/>
              </w:rPr>
              <w:t>7</w:t>
            </w:r>
            <w:r>
              <w:rPr>
                <w:rFonts w:ascii="仿宋" w:hAnsi="仿宋" w:eastAsia="仿宋"/>
                <w:sz w:val="21"/>
                <w:szCs w:val="21"/>
              </w:rPr>
              <w:t>Kw·h/年。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restart"/>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风险应急</w:t>
            </w: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事故应急池</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ascii="仿宋" w:hAnsi="仿宋" w:eastAsia="仿宋"/>
                <w:sz w:val="21"/>
                <w:szCs w:val="21"/>
              </w:rPr>
              <w:t>设</w:t>
            </w:r>
            <w:r>
              <w:rPr>
                <w:rFonts w:hint="eastAsia" w:ascii="仿宋" w:hAnsi="仿宋" w:eastAsia="仿宋"/>
                <w:sz w:val="21"/>
                <w:szCs w:val="21"/>
                <w:lang w:val="en-US" w:eastAsia="zh-CN"/>
              </w:rPr>
              <w:t>1</w:t>
            </w:r>
            <w:r>
              <w:rPr>
                <w:rFonts w:hint="eastAsia" w:ascii="仿宋" w:hAnsi="仿宋" w:eastAsia="仿宋"/>
                <w:sz w:val="21"/>
                <w:szCs w:val="21"/>
              </w:rPr>
              <w:t>座总容积为</w:t>
            </w:r>
            <w:r>
              <w:rPr>
                <w:rFonts w:hint="eastAsia" w:ascii="仿宋" w:hAnsi="仿宋" w:eastAsia="仿宋"/>
                <w:sz w:val="21"/>
                <w:szCs w:val="21"/>
                <w:lang w:val="en-US" w:eastAsia="zh-CN"/>
              </w:rPr>
              <w:t>300</w:t>
            </w:r>
            <w:r>
              <w:rPr>
                <w:rFonts w:ascii="仿宋" w:hAnsi="仿宋" w:eastAsia="仿宋"/>
                <w:sz w:val="21"/>
                <w:szCs w:val="21"/>
              </w:rPr>
              <w:t>m</w:t>
            </w:r>
            <w:r>
              <w:rPr>
                <w:rFonts w:ascii="仿宋" w:hAnsi="仿宋" w:eastAsia="仿宋"/>
                <w:sz w:val="21"/>
                <w:szCs w:val="21"/>
                <w:vertAlign w:val="superscript"/>
              </w:rPr>
              <w:t>3</w:t>
            </w:r>
            <w:r>
              <w:rPr>
                <w:rFonts w:ascii="仿宋" w:hAnsi="仿宋" w:eastAsia="仿宋"/>
                <w:sz w:val="21"/>
                <w:szCs w:val="21"/>
              </w:rPr>
              <w:t>事故应急池</w:t>
            </w:r>
            <w:r>
              <w:rPr>
                <w:rFonts w:hint="eastAsia" w:ascii="仿宋" w:hAnsi="仿宋" w:eastAsia="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vAlign w:val="center"/>
          </w:tcPr>
          <w:p>
            <w:pPr>
              <w:spacing w:line="240" w:lineRule="atLeast"/>
              <w:ind w:leftChars="0" w:right="0" w:rightChars="0" w:firstLine="0" w:firstLineChars="0"/>
              <w:jc w:val="center"/>
              <w:rPr>
                <w:rFonts w:ascii="仿宋" w:hAnsi="仿宋" w:eastAsia="仿宋"/>
                <w:sz w:val="21"/>
                <w:szCs w:val="21"/>
              </w:rPr>
            </w:pP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hint="eastAsia" w:ascii="仿宋" w:hAnsi="仿宋" w:eastAsia="仿宋"/>
                <w:sz w:val="21"/>
                <w:szCs w:val="21"/>
              </w:rPr>
              <w:t>初期雨水收集池</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hint="eastAsia" w:ascii="仿宋" w:hAnsi="仿宋" w:eastAsia="仿宋"/>
                <w:sz w:val="21"/>
                <w:szCs w:val="21"/>
              </w:rPr>
              <w:t>本公司</w:t>
            </w:r>
            <w:r>
              <w:rPr>
                <w:rFonts w:ascii="仿宋" w:hAnsi="仿宋" w:eastAsia="仿宋"/>
                <w:sz w:val="21"/>
                <w:szCs w:val="21"/>
              </w:rPr>
              <w:t>设</w:t>
            </w:r>
            <w:r>
              <w:rPr>
                <w:rFonts w:hint="eastAsia" w:ascii="仿宋" w:hAnsi="仿宋" w:eastAsia="仿宋"/>
                <w:sz w:val="21"/>
                <w:szCs w:val="21"/>
              </w:rPr>
              <w:t>1座初期雨水收集</w:t>
            </w:r>
            <w:r>
              <w:rPr>
                <w:rFonts w:ascii="仿宋" w:hAnsi="仿宋" w:eastAsia="仿宋"/>
                <w:sz w:val="21"/>
                <w:szCs w:val="21"/>
              </w:rPr>
              <w:t>池</w:t>
            </w:r>
            <w:r>
              <w:rPr>
                <w:rFonts w:hint="eastAsia" w:ascii="仿宋" w:hAnsi="仿宋" w:eastAsia="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vAlign w:val="center"/>
          </w:tcPr>
          <w:p>
            <w:pPr>
              <w:spacing w:line="240" w:lineRule="atLeast"/>
              <w:ind w:leftChars="0" w:right="0" w:rightChars="0" w:firstLine="0" w:firstLineChars="0"/>
              <w:jc w:val="center"/>
              <w:rPr>
                <w:rFonts w:ascii="仿宋" w:hAnsi="仿宋" w:eastAsia="仿宋"/>
                <w:sz w:val="21"/>
                <w:szCs w:val="21"/>
              </w:rPr>
            </w:pPr>
          </w:p>
        </w:tc>
        <w:tc>
          <w:tcPr>
            <w:tcW w:w="1899" w:type="dxa"/>
            <w:vAlign w:val="center"/>
          </w:tcPr>
          <w:p>
            <w:pPr>
              <w:spacing w:line="240" w:lineRule="atLeast"/>
              <w:ind w:leftChars="0" w:right="0" w:rightChars="0" w:firstLine="0" w:firstLineChars="0"/>
              <w:jc w:val="center"/>
              <w:rPr>
                <w:rFonts w:ascii="仿宋" w:hAnsi="仿宋" w:eastAsia="仿宋"/>
                <w:sz w:val="21"/>
                <w:szCs w:val="21"/>
              </w:rPr>
            </w:pPr>
            <w:r>
              <w:rPr>
                <w:rFonts w:ascii="仿宋" w:hAnsi="仿宋" w:eastAsia="仿宋"/>
                <w:sz w:val="21"/>
                <w:szCs w:val="21"/>
              </w:rPr>
              <w:t>应急物资库</w:t>
            </w:r>
          </w:p>
        </w:tc>
        <w:tc>
          <w:tcPr>
            <w:tcW w:w="6111" w:type="dxa"/>
            <w:vAlign w:val="center"/>
          </w:tcPr>
          <w:p>
            <w:pPr>
              <w:spacing w:line="240" w:lineRule="atLeast"/>
              <w:ind w:leftChars="0" w:right="0" w:rightChars="0" w:firstLine="0" w:firstLineChars="0"/>
              <w:rPr>
                <w:rFonts w:ascii="仿宋" w:hAnsi="仿宋" w:eastAsia="仿宋"/>
                <w:sz w:val="21"/>
                <w:szCs w:val="21"/>
              </w:rPr>
            </w:pPr>
            <w:r>
              <w:rPr>
                <w:rFonts w:ascii="仿宋" w:hAnsi="仿宋" w:eastAsia="仿宋"/>
                <w:sz w:val="21"/>
                <w:szCs w:val="21"/>
              </w:rPr>
              <w:t>本公司</w:t>
            </w:r>
            <w:r>
              <w:rPr>
                <w:rFonts w:hint="eastAsia" w:ascii="仿宋" w:hAnsi="仿宋" w:eastAsia="仿宋"/>
                <w:sz w:val="21"/>
                <w:szCs w:val="21"/>
              </w:rPr>
              <w:t>有1间应急物资库。</w:t>
            </w:r>
          </w:p>
        </w:tc>
      </w:tr>
    </w:tbl>
    <w:p>
      <w:pPr>
        <w:pStyle w:val="132"/>
        <w:rPr>
          <w:rFonts w:ascii="仿宋" w:hAnsi="仿宋" w:eastAsia="仿宋"/>
        </w:rPr>
      </w:pPr>
      <w:bookmarkStart w:id="127" w:name="_Toc31266"/>
      <w:r>
        <w:rPr>
          <w:rFonts w:ascii="仿宋" w:hAnsi="仿宋" w:eastAsia="仿宋"/>
        </w:rPr>
        <w:t>2.2.</w:t>
      </w:r>
      <w:r>
        <w:rPr>
          <w:rFonts w:hint="eastAsia" w:ascii="仿宋" w:hAnsi="仿宋" w:eastAsia="仿宋"/>
        </w:rPr>
        <w:t>5</w:t>
      </w:r>
      <w:r>
        <w:rPr>
          <w:rFonts w:ascii="仿宋" w:hAnsi="仿宋" w:eastAsia="仿宋"/>
        </w:rPr>
        <w:t>污染物排放情况</w:t>
      </w:r>
      <w:bookmarkEnd w:id="125"/>
      <w:bookmarkEnd w:id="126"/>
      <w:bookmarkEnd w:id="127"/>
    </w:p>
    <w:p>
      <w:pPr>
        <w:pStyle w:val="4"/>
        <w:ind w:firstLine="560"/>
        <w:rPr>
          <w:rFonts w:eastAsia="仿宋"/>
        </w:rPr>
      </w:pPr>
      <w:r>
        <w:rPr>
          <w:rFonts w:hint="eastAsia" w:eastAsia="仿宋"/>
          <w:lang w:val="en-US" w:eastAsia="zh-CN"/>
        </w:rPr>
        <w:t>2.2.5.</w:t>
      </w:r>
      <w:r>
        <w:rPr>
          <w:rFonts w:eastAsia="仿宋"/>
        </w:rPr>
        <w:t>1</w:t>
      </w:r>
      <w:r>
        <w:rPr>
          <w:rFonts w:hint="eastAsia" w:eastAsia="仿宋"/>
          <w:lang w:val="en-US" w:eastAsia="zh-CN"/>
        </w:rPr>
        <w:t xml:space="preserve"> </w:t>
      </w:r>
      <w:r>
        <w:rPr>
          <w:rFonts w:eastAsia="仿宋"/>
        </w:rPr>
        <w:t>废水</w:t>
      </w:r>
    </w:p>
    <w:p>
      <w:pPr>
        <w:pStyle w:val="4"/>
        <w:ind w:firstLine="560"/>
        <w:rPr>
          <w:rFonts w:eastAsia="仿宋"/>
        </w:rPr>
      </w:pPr>
      <w:r>
        <w:rPr>
          <w:rFonts w:eastAsia="仿宋"/>
        </w:rPr>
        <w:t>（1）生产车间地面冲洗废水及滤布洗涤废水</w:t>
      </w:r>
    </w:p>
    <w:p>
      <w:pPr>
        <w:pStyle w:val="4"/>
        <w:ind w:firstLine="560"/>
        <w:rPr>
          <w:rFonts w:eastAsia="仿宋"/>
        </w:rPr>
      </w:pPr>
      <w:r>
        <w:rPr>
          <w:rFonts w:eastAsia="仿宋"/>
        </w:rPr>
        <w:t>生产车间地面冲洗废水及滤布洗涤废水产生量共27.5m</w:t>
      </w:r>
      <w:r>
        <w:rPr>
          <w:rFonts w:eastAsia="仿宋"/>
          <w:vertAlign w:val="superscript"/>
        </w:rPr>
        <w:t>3</w:t>
      </w:r>
      <w:r>
        <w:rPr>
          <w:rFonts w:eastAsia="仿宋"/>
        </w:rPr>
        <w:t>/d，主要污染因子为锌、铅、</w:t>
      </w:r>
      <w:r>
        <w:rPr>
          <w:rFonts w:hint="eastAsia" w:eastAsia="仿宋"/>
          <w:lang w:eastAsia="zh-CN"/>
        </w:rPr>
        <w:t>镉</w:t>
      </w:r>
      <w:r>
        <w:rPr>
          <w:rFonts w:eastAsia="仿宋"/>
        </w:rPr>
        <w:t>等重金属，分别回用</w:t>
      </w:r>
      <w:r>
        <w:rPr>
          <w:rFonts w:hint="eastAsia" w:eastAsia="仿宋"/>
          <w:lang w:eastAsia="zh-CN"/>
        </w:rPr>
        <w:t>于硫酸锌净化槽生产用补水。滤渣转运到固废仓库，达到一定量后转移至有资质危险固废处置单位处置利用。初期雨水和沉化洗涤水经水处理车间处理过滤达标后</w:t>
      </w:r>
      <w:r>
        <w:rPr>
          <w:rFonts w:eastAsia="仿宋"/>
        </w:rPr>
        <w:t>排</w:t>
      </w:r>
      <w:r>
        <w:rPr>
          <w:rFonts w:hint="eastAsia" w:eastAsia="仿宋"/>
          <w:lang w:eastAsia="zh-CN"/>
        </w:rPr>
        <w:t>污水处理厂，滤渣收集转运到固废仓库。</w:t>
      </w:r>
    </w:p>
    <w:p>
      <w:pPr>
        <w:pStyle w:val="4"/>
        <w:numPr>
          <w:ilvl w:val="0"/>
          <w:numId w:val="3"/>
        </w:numPr>
        <w:ind w:firstLine="560"/>
        <w:rPr>
          <w:rFonts w:eastAsia="仿宋"/>
        </w:rPr>
      </w:pPr>
      <w:r>
        <w:rPr>
          <w:rFonts w:eastAsia="仿宋"/>
        </w:rPr>
        <w:t>本项目废水排放主要是生活污水。生活污水经生化处理达到《污水综合排放标准》（GB8978-1996）表4 中的</w:t>
      </w:r>
      <w:r>
        <w:rPr>
          <w:rFonts w:hint="eastAsia" w:eastAsia="仿宋"/>
          <w:lang w:eastAsia="zh-CN"/>
        </w:rPr>
        <w:t>三</w:t>
      </w:r>
      <w:r>
        <w:rPr>
          <w:rFonts w:eastAsia="仿宋"/>
        </w:rPr>
        <w:t>级排放标准</w:t>
      </w:r>
      <w:r>
        <w:rPr>
          <w:rFonts w:hint="eastAsia" w:eastAsia="仿宋"/>
          <w:lang w:eastAsia="zh-CN"/>
        </w:rPr>
        <w:t>经工业园内的污水排水管网排入盐化工业城污水处理厂</w:t>
      </w:r>
      <w:r>
        <w:rPr>
          <w:rFonts w:eastAsia="仿宋"/>
        </w:rPr>
        <w:t>。</w:t>
      </w:r>
    </w:p>
    <w:p>
      <w:pPr>
        <w:pStyle w:val="4"/>
        <w:ind w:left="560" w:leftChars="200" w:firstLine="0" w:firstLineChars="0"/>
        <w:rPr>
          <w:rFonts w:eastAsia="仿宋"/>
          <w:color w:val="FF0000"/>
        </w:rPr>
      </w:pPr>
      <w:r>
        <w:rPr>
          <w:rFonts w:eastAsia="仿宋"/>
          <w:kern w:val="0"/>
        </w:rPr>
        <w:t>本公司废水外排情况见表</w:t>
      </w:r>
      <w:r>
        <w:rPr>
          <w:rFonts w:hint="eastAsia" w:eastAsia="仿宋"/>
          <w:kern w:val="0"/>
        </w:rPr>
        <w:t>2.2-</w:t>
      </w:r>
      <w:r>
        <w:rPr>
          <w:rFonts w:hint="eastAsia" w:eastAsia="仿宋"/>
          <w:kern w:val="0"/>
          <w:lang w:val="en-US" w:eastAsia="zh-CN"/>
        </w:rPr>
        <w:t>7</w:t>
      </w:r>
      <w:r>
        <w:rPr>
          <w:rFonts w:eastAsia="仿宋"/>
          <w:kern w:val="0"/>
        </w:rPr>
        <w:t>。</w:t>
      </w:r>
    </w:p>
    <w:p>
      <w:pPr>
        <w:spacing w:line="500" w:lineRule="exact"/>
        <w:ind w:left="0" w:leftChars="0" w:right="0" w:rightChars="0" w:firstLine="0" w:firstLineChars="0"/>
        <w:jc w:val="center"/>
        <w:rPr>
          <w:rFonts w:eastAsia="仿宋"/>
          <w:b/>
          <w:sz w:val="24"/>
        </w:rPr>
      </w:pPr>
    </w:p>
    <w:p>
      <w:pPr>
        <w:spacing w:line="500" w:lineRule="exact"/>
        <w:ind w:left="0" w:leftChars="0" w:right="0" w:rightChars="0" w:firstLine="0" w:firstLineChars="0"/>
        <w:jc w:val="center"/>
        <w:rPr>
          <w:rFonts w:eastAsia="仿宋"/>
          <w:b/>
          <w:sz w:val="24"/>
        </w:rPr>
      </w:pPr>
    </w:p>
    <w:p>
      <w:pPr>
        <w:spacing w:line="500" w:lineRule="exact"/>
        <w:ind w:left="0" w:leftChars="0" w:right="0" w:rightChars="0" w:firstLine="0" w:firstLineChars="0"/>
        <w:jc w:val="center"/>
        <w:rPr>
          <w:rFonts w:eastAsia="仿宋"/>
          <w:b/>
          <w:sz w:val="24"/>
        </w:rPr>
      </w:pPr>
    </w:p>
    <w:p>
      <w:pPr>
        <w:spacing w:line="500" w:lineRule="exact"/>
        <w:ind w:left="0" w:leftChars="0" w:right="0" w:rightChars="0" w:firstLine="0" w:firstLineChars="0"/>
        <w:jc w:val="center"/>
        <w:rPr>
          <w:rFonts w:eastAsia="仿宋"/>
          <w:b/>
          <w:bCs/>
          <w:sz w:val="24"/>
        </w:rPr>
      </w:pPr>
      <w:r>
        <w:rPr>
          <w:rFonts w:eastAsia="仿宋"/>
          <w:b/>
          <w:sz w:val="24"/>
        </w:rPr>
        <w:t>表2</w:t>
      </w:r>
      <w:r>
        <w:rPr>
          <w:rFonts w:hint="eastAsia" w:eastAsia="仿宋"/>
          <w:b/>
          <w:sz w:val="24"/>
        </w:rPr>
        <w:t>.2</w:t>
      </w:r>
      <w:r>
        <w:rPr>
          <w:rFonts w:eastAsia="仿宋"/>
          <w:b/>
          <w:sz w:val="24"/>
        </w:rPr>
        <w:t>-</w:t>
      </w:r>
      <w:r>
        <w:rPr>
          <w:rFonts w:hint="eastAsia" w:eastAsia="仿宋"/>
          <w:b/>
          <w:sz w:val="24"/>
          <w:lang w:val="en-US" w:eastAsia="zh-CN"/>
        </w:rPr>
        <w:t>7</w:t>
      </w:r>
      <w:r>
        <w:rPr>
          <w:rFonts w:hint="eastAsia" w:eastAsia="仿宋"/>
          <w:b/>
          <w:sz w:val="24"/>
        </w:rPr>
        <w:t xml:space="preserve"> </w:t>
      </w:r>
      <w:r>
        <w:rPr>
          <w:rFonts w:eastAsia="仿宋"/>
          <w:b/>
          <w:bCs/>
          <w:sz w:val="24"/>
        </w:rPr>
        <w:t>本公司水污染物排放状况表</w:t>
      </w:r>
    </w:p>
    <w:p>
      <w:pPr>
        <w:spacing w:line="500" w:lineRule="exact"/>
        <w:ind w:left="0" w:leftChars="0" w:right="0" w:rightChars="0" w:firstLine="0" w:firstLineChars="0"/>
        <w:jc w:val="center"/>
        <w:rPr>
          <w:rFonts w:eastAsia="仿宋"/>
          <w:b/>
          <w:bCs/>
          <w:sz w:val="24"/>
        </w:rPr>
      </w:pPr>
      <w:r>
        <w:rPr>
          <w:sz w:val="24"/>
        </w:rPr>
        <w:pict>
          <v:shape id="_x0000_s1389" o:spid="_x0000_s1389" o:spt="202" type="#_x0000_t202" style="position:absolute;left:0pt;margin-left:-14.75pt;margin-top:1.05pt;height:171.05pt;width:478.5pt;z-index:251659264;mso-width-relative:page;mso-height-relative:page;" fillcolor="#FFFFFF" filled="t" stroked="t" coordsize="21600,21600">
            <v:path/>
            <v:fill on="t" color2="#FFFFFF" focussize="0,0"/>
            <v:stroke color="#FFFFFF"/>
            <v:imagedata o:title=""/>
            <o:lock v:ext="edit" aspectratio="f"/>
            <v:textbox>
              <w:txbxContent>
                <w:p>
                  <w:pPr>
                    <w:ind w:left="0" w:leftChars="0" w:firstLine="0" w:firstLineChars="0"/>
                  </w:pPr>
                  <w:r>
                    <w:drawing>
                      <wp:inline distT="0" distB="0" distL="114300" distR="114300">
                        <wp:extent cx="5883910" cy="1920875"/>
                        <wp:effectExtent l="0" t="0" r="2540" b="317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13"/>
                                <a:stretch>
                                  <a:fillRect/>
                                </a:stretch>
                              </pic:blipFill>
                              <pic:spPr>
                                <a:xfrm>
                                  <a:off x="0" y="0"/>
                                  <a:ext cx="5883910" cy="1920875"/>
                                </a:xfrm>
                                <a:prstGeom prst="rect">
                                  <a:avLst/>
                                </a:prstGeom>
                                <a:noFill/>
                                <a:ln w="9525">
                                  <a:noFill/>
                                </a:ln>
                              </pic:spPr>
                            </pic:pic>
                          </a:graphicData>
                        </a:graphic>
                      </wp:inline>
                    </w:drawing>
                  </w:r>
                </w:p>
              </w:txbxContent>
            </v:textbox>
          </v:shape>
        </w:pict>
      </w:r>
    </w:p>
    <w:p>
      <w:pPr>
        <w:spacing w:line="500" w:lineRule="exact"/>
        <w:ind w:left="0" w:leftChars="0" w:right="0" w:rightChars="0" w:firstLine="0" w:firstLineChars="0"/>
        <w:jc w:val="center"/>
        <w:rPr>
          <w:rFonts w:eastAsia="仿宋"/>
          <w:b/>
          <w:bCs/>
          <w:sz w:val="24"/>
        </w:rPr>
      </w:pPr>
    </w:p>
    <w:p>
      <w:pPr>
        <w:spacing w:line="500" w:lineRule="exact"/>
        <w:ind w:left="0" w:leftChars="0" w:right="0" w:rightChars="0" w:firstLine="0" w:firstLineChars="0"/>
        <w:jc w:val="center"/>
        <w:rPr>
          <w:rFonts w:eastAsia="仿宋"/>
          <w:b/>
          <w:bCs/>
          <w:sz w:val="24"/>
        </w:rPr>
      </w:pPr>
    </w:p>
    <w:p>
      <w:pPr>
        <w:spacing w:line="500" w:lineRule="exact"/>
        <w:ind w:left="0" w:leftChars="0" w:right="0" w:rightChars="0" w:firstLine="0" w:firstLineChars="0"/>
        <w:jc w:val="center"/>
        <w:rPr>
          <w:rFonts w:eastAsia="仿宋"/>
          <w:b/>
          <w:bCs/>
          <w:sz w:val="24"/>
        </w:rPr>
      </w:pPr>
    </w:p>
    <w:p>
      <w:pPr>
        <w:spacing w:line="500" w:lineRule="exact"/>
        <w:ind w:left="0" w:leftChars="0" w:right="0" w:rightChars="0" w:firstLine="0" w:firstLineChars="0"/>
        <w:jc w:val="center"/>
        <w:rPr>
          <w:rFonts w:eastAsia="仿宋"/>
          <w:b/>
          <w:bCs/>
          <w:sz w:val="24"/>
        </w:rPr>
      </w:pPr>
    </w:p>
    <w:p>
      <w:pPr>
        <w:spacing w:line="500" w:lineRule="exact"/>
        <w:ind w:left="0" w:leftChars="0" w:right="0" w:rightChars="0" w:firstLine="0" w:firstLineChars="0"/>
        <w:jc w:val="both"/>
        <w:rPr>
          <w:rFonts w:eastAsia="仿宋"/>
          <w:b/>
          <w:bCs/>
          <w:sz w:val="24"/>
        </w:rPr>
      </w:pPr>
    </w:p>
    <w:p>
      <w:pPr>
        <w:spacing w:line="500" w:lineRule="exact"/>
        <w:ind w:left="0" w:leftChars="0" w:right="0" w:rightChars="0" w:firstLine="0" w:firstLineChars="0"/>
        <w:jc w:val="both"/>
        <w:rPr>
          <w:rFonts w:eastAsia="仿宋"/>
          <w:b/>
          <w:bCs/>
          <w:sz w:val="24"/>
        </w:rPr>
      </w:pPr>
    </w:p>
    <w:p>
      <w:pPr>
        <w:pStyle w:val="4"/>
        <w:ind w:firstLine="560"/>
        <w:rPr>
          <w:rFonts w:ascii="仿宋" w:hAnsi="仿宋" w:eastAsia="仿宋"/>
          <w:kern w:val="0"/>
        </w:rPr>
      </w:pPr>
      <w:r>
        <w:rPr>
          <w:rFonts w:hint="eastAsia" w:ascii="仿宋" w:hAnsi="仿宋" w:eastAsia="仿宋"/>
          <w:kern w:val="0"/>
        </w:rPr>
        <w:t>2</w:t>
      </w:r>
      <w:r>
        <w:rPr>
          <w:rFonts w:hint="eastAsia" w:ascii="仿宋" w:hAnsi="仿宋" w:eastAsia="仿宋"/>
          <w:kern w:val="0"/>
          <w:lang w:val="en-US" w:eastAsia="zh-CN"/>
        </w:rPr>
        <w:t>.2.5.2</w:t>
      </w:r>
      <w:r>
        <w:rPr>
          <w:rFonts w:hint="eastAsia" w:ascii="仿宋" w:hAnsi="仿宋" w:eastAsia="仿宋"/>
          <w:kern w:val="0"/>
        </w:rPr>
        <w:t>废气</w:t>
      </w:r>
    </w:p>
    <w:p>
      <w:pPr>
        <w:pStyle w:val="4"/>
        <w:ind w:firstLine="560"/>
        <w:rPr>
          <w:rFonts w:ascii="仿宋" w:hAnsi="仿宋" w:eastAsia="仿宋"/>
          <w:kern w:val="0"/>
        </w:rPr>
        <w:sectPr>
          <w:footerReference r:id="rId5" w:type="default"/>
          <w:pgSz w:w="11906" w:h="16838"/>
          <w:pgMar w:top="1440" w:right="1274" w:bottom="1440" w:left="1418" w:header="851" w:footer="992" w:gutter="0"/>
          <w:pgNumType w:start="1"/>
          <w:cols w:space="425" w:num="1"/>
          <w:docGrid w:type="lines" w:linePitch="312" w:charSpace="0"/>
        </w:sectPr>
      </w:pPr>
      <w:r>
        <w:rPr>
          <w:sz w:val="28"/>
        </w:rPr>
        <w:pict>
          <v:shape id="_x0000_s1390" o:spid="_x0000_s1390" o:spt="202" type="#_x0000_t202" style="position:absolute;left:0pt;margin-left:-7.25pt;margin-top:25.9pt;height:345.05pt;width:477pt;z-index:251660288;mso-width-relative:page;mso-height-relative:page;" fillcolor="#FFFFFF" filled="t" stroked="t" coordsize="21600,21600">
            <v:path/>
            <v:fill on="t" color2="#FFFFFF" focussize="0,0"/>
            <v:stroke color="#FFFFFF"/>
            <v:imagedata o:title=""/>
            <o:lock v:ext="edit" aspectratio="f"/>
            <v:textbox>
              <w:txbxContent>
                <w:p>
                  <w:pPr>
                    <w:ind w:left="0" w:leftChars="0" w:firstLine="0" w:firstLineChars="0"/>
                  </w:pPr>
                  <w:r>
                    <w:drawing>
                      <wp:inline distT="0" distB="0" distL="114300" distR="114300">
                        <wp:extent cx="5864860" cy="4150995"/>
                        <wp:effectExtent l="0" t="0" r="2540" b="190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4"/>
                                <a:stretch>
                                  <a:fillRect/>
                                </a:stretch>
                              </pic:blipFill>
                              <pic:spPr>
                                <a:xfrm>
                                  <a:off x="0" y="0"/>
                                  <a:ext cx="5864860" cy="4150995"/>
                                </a:xfrm>
                                <a:prstGeom prst="rect">
                                  <a:avLst/>
                                </a:prstGeom>
                                <a:noFill/>
                                <a:ln w="9525">
                                  <a:noFill/>
                                </a:ln>
                              </pic:spPr>
                            </pic:pic>
                          </a:graphicData>
                        </a:graphic>
                      </wp:inline>
                    </w:drawing>
                  </w:r>
                </w:p>
              </w:txbxContent>
            </v:textbox>
          </v:shape>
        </w:pict>
      </w:r>
      <w:r>
        <w:rPr>
          <w:rFonts w:hint="eastAsia" w:ascii="仿宋" w:hAnsi="仿宋" w:eastAsia="仿宋"/>
          <w:kern w:val="0"/>
        </w:rPr>
        <w:t>本公司废气产排情况见表2.2-</w:t>
      </w:r>
      <w:r>
        <w:rPr>
          <w:rFonts w:hint="eastAsia" w:ascii="仿宋" w:hAnsi="仿宋" w:eastAsia="仿宋"/>
          <w:kern w:val="0"/>
          <w:lang w:val="en-US" w:eastAsia="zh-CN"/>
        </w:rPr>
        <w:t>8</w:t>
      </w:r>
    </w:p>
    <w:p>
      <w:pPr>
        <w:pStyle w:val="4"/>
        <w:ind w:firstLine="560"/>
        <w:rPr>
          <w:rFonts w:hint="eastAsia" w:ascii="仿宋" w:hAnsi="仿宋" w:eastAsia="仿宋"/>
        </w:rPr>
      </w:pPr>
      <w:r>
        <w:rPr>
          <w:rFonts w:hint="eastAsia" w:ascii="仿宋" w:hAnsi="仿宋" w:eastAsia="仿宋"/>
          <w:lang w:val="en-US" w:eastAsia="zh-CN"/>
        </w:rPr>
        <w:t xml:space="preserve">2.2.5.3 </w:t>
      </w:r>
      <w:r>
        <w:rPr>
          <w:rFonts w:hint="eastAsia" w:ascii="仿宋" w:hAnsi="仿宋" w:eastAsia="仿宋"/>
        </w:rPr>
        <w:t>噪声</w:t>
      </w:r>
    </w:p>
    <w:p>
      <w:pPr>
        <w:snapToGrid w:val="0"/>
        <w:spacing w:line="384" w:lineRule="auto"/>
        <w:rPr>
          <w:rFonts w:hint="eastAsia" w:ascii="仿宋" w:hAnsi="仿宋" w:eastAsia="仿宋"/>
        </w:rPr>
      </w:pPr>
      <w:r>
        <w:rPr>
          <w:rFonts w:hint="eastAsia" w:eastAsia="黑体"/>
          <w:color w:val="000000"/>
          <w:sz w:val="24"/>
          <w:szCs w:val="24"/>
        </w:rPr>
        <w:t xml:space="preserve"> </w:t>
      </w:r>
      <w:r>
        <w:rPr>
          <w:rFonts w:hint="eastAsia"/>
          <w:color w:val="000000"/>
          <w:sz w:val="24"/>
        </w:rPr>
        <w:t xml:space="preserve"> 本</w:t>
      </w:r>
      <w:r>
        <w:rPr>
          <w:rFonts w:hint="eastAsia"/>
          <w:color w:val="000000"/>
          <w:sz w:val="24"/>
          <w:lang w:eastAsia="zh-CN"/>
        </w:rPr>
        <w:t>公司</w:t>
      </w:r>
      <w:r>
        <w:rPr>
          <w:rFonts w:hint="eastAsia"/>
          <w:color w:val="000000"/>
          <w:sz w:val="24"/>
        </w:rPr>
        <w:t>噪声主要是来自于锅炉等鼓风机以及生产车间的机械设备。噪声设备主要有：压滤机80～85dB（A</w:t>
      </w:r>
      <w:r>
        <w:rPr>
          <w:color w:val="000000"/>
          <w:sz w:val="24"/>
        </w:rPr>
        <w:t>）</w:t>
      </w:r>
      <w:r>
        <w:rPr>
          <w:rFonts w:hint="eastAsia"/>
          <w:color w:val="000000"/>
          <w:sz w:val="24"/>
        </w:rPr>
        <w:t>23台，风机85～90dB（A</w:t>
      </w:r>
      <w:r>
        <w:rPr>
          <w:color w:val="000000"/>
          <w:sz w:val="24"/>
        </w:rPr>
        <w:t>）</w:t>
      </w:r>
      <w:r>
        <w:rPr>
          <w:rFonts w:hint="eastAsia"/>
          <w:color w:val="000000"/>
          <w:sz w:val="24"/>
        </w:rPr>
        <w:t>8台，干燥机85～90dB（A</w:t>
      </w:r>
      <w:r>
        <w:rPr>
          <w:color w:val="000000"/>
          <w:sz w:val="24"/>
        </w:rPr>
        <w:t>）</w:t>
      </w:r>
      <w:r>
        <w:rPr>
          <w:rFonts w:hint="eastAsia"/>
          <w:color w:val="000000"/>
          <w:sz w:val="24"/>
        </w:rPr>
        <w:t>2台，泵75～80dB（A</w:t>
      </w:r>
      <w:r>
        <w:rPr>
          <w:color w:val="000000"/>
          <w:sz w:val="24"/>
        </w:rPr>
        <w:t>）</w:t>
      </w:r>
      <w:r>
        <w:rPr>
          <w:rFonts w:hint="eastAsia"/>
          <w:color w:val="000000"/>
          <w:sz w:val="24"/>
        </w:rPr>
        <w:t>12台，搅拌机80～85dB（A</w:t>
      </w:r>
      <w:r>
        <w:rPr>
          <w:color w:val="000000"/>
          <w:sz w:val="24"/>
        </w:rPr>
        <w:t>）</w:t>
      </w:r>
      <w:r>
        <w:rPr>
          <w:rFonts w:hint="eastAsia"/>
          <w:color w:val="000000"/>
          <w:sz w:val="24"/>
        </w:rPr>
        <w:t>4台。通过在设备上设置缓冲器，在设备基座与基础之间设橡胶隔振垫，在管道上设置橡胶减震补偿器，并选用低噪声设备；在建筑上采用隔音吸收设计和设置隔音间，使噪声降至标准以下，满足《工业企业厂界噪声标准》（GB12348-90）。</w:t>
      </w:r>
    </w:p>
    <w:p>
      <w:pPr>
        <w:spacing w:line="500" w:lineRule="exact"/>
        <w:ind w:left="280" w:right="280" w:firstLine="560"/>
        <w:rPr>
          <w:rFonts w:ascii="仿宋" w:hAnsi="仿宋" w:eastAsia="仿宋"/>
          <w:szCs w:val="28"/>
        </w:rPr>
      </w:pPr>
      <w:r>
        <w:rPr>
          <w:rFonts w:ascii="仿宋" w:hAnsi="仿宋" w:eastAsia="仿宋"/>
          <w:szCs w:val="28"/>
        </w:rPr>
        <w:t>本公司噪声</w:t>
      </w:r>
      <w:r>
        <w:rPr>
          <w:rFonts w:hint="eastAsia" w:ascii="仿宋" w:hAnsi="仿宋" w:eastAsia="仿宋"/>
          <w:szCs w:val="28"/>
          <w:lang w:eastAsia="zh-CN"/>
        </w:rPr>
        <w:t>监测</w:t>
      </w:r>
      <w:r>
        <w:rPr>
          <w:rFonts w:ascii="仿宋" w:hAnsi="仿宋" w:eastAsia="仿宋"/>
          <w:szCs w:val="28"/>
        </w:rPr>
        <w:t>状况见表2</w:t>
      </w:r>
      <w:r>
        <w:rPr>
          <w:rFonts w:hint="eastAsia" w:ascii="仿宋" w:hAnsi="仿宋" w:eastAsia="仿宋"/>
          <w:szCs w:val="28"/>
        </w:rPr>
        <w:t>.2</w:t>
      </w:r>
      <w:r>
        <w:rPr>
          <w:rFonts w:ascii="仿宋" w:hAnsi="仿宋" w:eastAsia="仿宋"/>
          <w:szCs w:val="28"/>
        </w:rPr>
        <w:t>-</w:t>
      </w:r>
      <w:r>
        <w:rPr>
          <w:rFonts w:hint="eastAsia" w:ascii="仿宋" w:hAnsi="仿宋" w:eastAsia="仿宋"/>
          <w:szCs w:val="28"/>
        </w:rPr>
        <w:t>9</w:t>
      </w:r>
      <w:r>
        <w:rPr>
          <w:rFonts w:ascii="仿宋" w:hAnsi="仿宋" w:eastAsia="仿宋"/>
          <w:szCs w:val="28"/>
        </w:rPr>
        <w:t>。</w:t>
      </w:r>
    </w:p>
    <w:p>
      <w:pPr>
        <w:ind w:left="0" w:leftChars="0" w:right="0" w:rightChars="0" w:firstLine="0" w:firstLineChars="0"/>
        <w:jc w:val="center"/>
        <w:rPr>
          <w:rFonts w:ascii="仿宋" w:hAnsi="仿宋" w:eastAsia="仿宋"/>
          <w:b/>
          <w:sz w:val="24"/>
          <w:highlight w:val="none"/>
        </w:rPr>
      </w:pPr>
      <w:r>
        <w:rPr>
          <w:rFonts w:ascii="仿宋" w:hAnsi="仿宋" w:eastAsia="仿宋"/>
          <w:b/>
          <w:sz w:val="24"/>
          <w:highlight w:val="none"/>
        </w:rPr>
        <w:t>表2</w:t>
      </w:r>
      <w:r>
        <w:rPr>
          <w:rFonts w:hint="eastAsia" w:ascii="仿宋" w:hAnsi="仿宋" w:eastAsia="仿宋"/>
          <w:b/>
          <w:sz w:val="24"/>
          <w:highlight w:val="none"/>
        </w:rPr>
        <w:t xml:space="preserve">.2-9  </w:t>
      </w:r>
      <w:r>
        <w:rPr>
          <w:rFonts w:ascii="仿宋" w:hAnsi="仿宋" w:eastAsia="仿宋"/>
          <w:b/>
          <w:sz w:val="24"/>
          <w:highlight w:val="none"/>
        </w:rPr>
        <w:t>本公司厂界噪声</w:t>
      </w:r>
      <w:r>
        <w:rPr>
          <w:rFonts w:hint="eastAsia" w:ascii="仿宋" w:hAnsi="仿宋" w:eastAsia="仿宋"/>
          <w:b/>
          <w:sz w:val="24"/>
          <w:highlight w:val="none"/>
          <w:lang w:eastAsia="zh-CN"/>
        </w:rPr>
        <w:t>监测结果</w:t>
      </w:r>
      <w:r>
        <w:rPr>
          <w:rFonts w:ascii="仿宋" w:hAnsi="仿宋" w:eastAsia="仿宋"/>
          <w:b/>
          <w:sz w:val="24"/>
          <w:highlight w:val="none"/>
        </w:rPr>
        <w:t>表</w:t>
      </w:r>
    </w:p>
    <w:p>
      <w:pPr>
        <w:ind w:left="0" w:leftChars="0" w:right="0" w:rightChars="0" w:firstLine="0" w:firstLineChars="0"/>
        <w:jc w:val="center"/>
        <w:rPr>
          <w:rFonts w:ascii="仿宋" w:hAnsi="仿宋" w:eastAsia="仿宋"/>
          <w:b/>
          <w:sz w:val="24"/>
          <w:highlight w:val="none"/>
        </w:rPr>
      </w:pPr>
      <w:r>
        <w:rPr>
          <w:sz w:val="24"/>
        </w:rPr>
        <w:pict>
          <v:shape id="_x0000_s1391" o:spid="_x0000_s1391" o:spt="202" type="#_x0000_t202" style="position:absolute;left:0pt;margin-left:13.05pt;margin-top:5pt;height:173.95pt;width:452.2pt;z-index:251661312;mso-width-relative:page;mso-height-relative:page;" fillcolor="#FFFFFF" filled="t" stroked="t" coordsize="21600,21600">
            <v:path/>
            <v:fill on="t" color2="#FFFFFF" focussize="0,0"/>
            <v:stroke color="#FFFFFF"/>
            <v:imagedata o:title=""/>
            <o:lock v:ext="edit" aspectratio="f"/>
            <v:textbox>
              <w:txbxContent>
                <w:p>
                  <w:pPr>
                    <w:ind w:left="0" w:leftChars="0" w:firstLine="0" w:firstLineChars="0"/>
                  </w:pPr>
                  <w:r>
                    <w:drawing>
                      <wp:inline distT="0" distB="0" distL="114300" distR="114300">
                        <wp:extent cx="5544820" cy="2087245"/>
                        <wp:effectExtent l="0" t="0" r="17780" b="825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5"/>
                                <a:stretch>
                                  <a:fillRect/>
                                </a:stretch>
                              </pic:blipFill>
                              <pic:spPr>
                                <a:xfrm>
                                  <a:off x="0" y="0"/>
                                  <a:ext cx="5544820" cy="2087245"/>
                                </a:xfrm>
                                <a:prstGeom prst="rect">
                                  <a:avLst/>
                                </a:prstGeom>
                                <a:noFill/>
                                <a:ln w="9525">
                                  <a:noFill/>
                                </a:ln>
                              </pic:spPr>
                            </pic:pic>
                          </a:graphicData>
                        </a:graphic>
                      </wp:inline>
                    </w:drawing>
                  </w:r>
                </w:p>
              </w:txbxContent>
            </v:textbox>
          </v:shape>
        </w:pict>
      </w:r>
    </w:p>
    <w:p>
      <w:pPr>
        <w:pStyle w:val="4"/>
        <w:ind w:firstLine="560"/>
        <w:rPr>
          <w:rFonts w:ascii="仿宋" w:hAnsi="仿宋" w:eastAsia="仿宋"/>
          <w:color w:val="FF0000"/>
        </w:rPr>
      </w:pPr>
    </w:p>
    <w:p>
      <w:pPr>
        <w:pStyle w:val="4"/>
        <w:ind w:firstLine="560"/>
        <w:rPr>
          <w:rFonts w:ascii="仿宋" w:hAnsi="仿宋" w:eastAsia="仿宋"/>
          <w:color w:val="FF0000"/>
        </w:rPr>
      </w:pPr>
    </w:p>
    <w:p>
      <w:pPr>
        <w:pStyle w:val="4"/>
        <w:ind w:firstLine="560"/>
        <w:rPr>
          <w:rFonts w:ascii="仿宋" w:hAnsi="仿宋" w:eastAsia="仿宋"/>
          <w:color w:val="FF0000"/>
        </w:rPr>
      </w:pPr>
    </w:p>
    <w:p>
      <w:pPr>
        <w:pStyle w:val="4"/>
        <w:ind w:firstLine="560"/>
        <w:rPr>
          <w:rFonts w:ascii="仿宋" w:hAnsi="仿宋" w:eastAsia="仿宋"/>
          <w:color w:val="FF0000"/>
        </w:rPr>
      </w:pPr>
    </w:p>
    <w:p>
      <w:pPr>
        <w:pStyle w:val="4"/>
        <w:ind w:firstLine="560"/>
        <w:rPr>
          <w:rFonts w:ascii="仿宋" w:hAnsi="仿宋" w:eastAsia="仿宋"/>
          <w:color w:val="FF0000"/>
        </w:rPr>
      </w:pPr>
    </w:p>
    <w:p>
      <w:pPr>
        <w:pStyle w:val="4"/>
        <w:ind w:firstLine="560"/>
        <w:rPr>
          <w:rFonts w:hint="eastAsia" w:ascii="仿宋" w:hAnsi="仿宋" w:eastAsia="仿宋"/>
        </w:rPr>
      </w:pPr>
    </w:p>
    <w:p>
      <w:pPr>
        <w:pStyle w:val="4"/>
        <w:ind w:firstLine="560"/>
        <w:rPr>
          <w:rFonts w:hint="eastAsia" w:ascii="仿宋" w:hAnsi="仿宋" w:eastAsia="仿宋"/>
        </w:rPr>
      </w:pPr>
    </w:p>
    <w:p>
      <w:pPr>
        <w:pStyle w:val="4"/>
        <w:ind w:firstLine="560"/>
        <w:rPr>
          <w:rFonts w:ascii="仿宋" w:hAnsi="仿宋" w:eastAsia="仿宋"/>
        </w:rPr>
      </w:pPr>
      <w:r>
        <w:rPr>
          <w:rFonts w:hint="eastAsia" w:ascii="仿宋" w:hAnsi="仿宋" w:eastAsia="仿宋"/>
          <w:lang w:val="en-US" w:eastAsia="zh-CN"/>
        </w:rPr>
        <w:t>2.2.5.</w:t>
      </w:r>
      <w:r>
        <w:rPr>
          <w:rFonts w:hint="eastAsia" w:ascii="仿宋" w:hAnsi="仿宋" w:eastAsia="仿宋"/>
        </w:rPr>
        <w:t>4固体废物</w:t>
      </w:r>
    </w:p>
    <w:p>
      <w:pPr>
        <w:pStyle w:val="4"/>
        <w:ind w:firstLine="560"/>
        <w:rPr>
          <w:rFonts w:ascii="仿宋" w:hAnsi="仿宋" w:eastAsia="仿宋"/>
          <w:color w:val="FF0000"/>
          <w:szCs w:val="28"/>
        </w:rPr>
      </w:pPr>
      <w:r>
        <w:rPr>
          <w:rFonts w:ascii="仿宋" w:hAnsi="仿宋" w:eastAsia="仿宋"/>
          <w:szCs w:val="28"/>
        </w:rPr>
        <w:t>本公司</w:t>
      </w:r>
      <w:r>
        <w:rPr>
          <w:rFonts w:hint="eastAsia" w:ascii="仿宋" w:hAnsi="仿宋" w:eastAsia="仿宋"/>
          <w:szCs w:val="28"/>
        </w:rPr>
        <w:t>固废</w:t>
      </w:r>
      <w:r>
        <w:rPr>
          <w:rFonts w:ascii="仿宋" w:hAnsi="仿宋" w:eastAsia="仿宋"/>
          <w:szCs w:val="28"/>
        </w:rPr>
        <w:t>源强及排放状况见表</w:t>
      </w:r>
      <w:r>
        <w:rPr>
          <w:rFonts w:hint="eastAsia" w:ascii="仿宋" w:hAnsi="仿宋" w:eastAsia="仿宋"/>
          <w:szCs w:val="28"/>
        </w:rPr>
        <w:t>2.2-10。</w:t>
      </w:r>
    </w:p>
    <w:p>
      <w:pPr>
        <w:spacing w:line="500" w:lineRule="exact"/>
        <w:ind w:left="0" w:leftChars="0" w:right="0" w:rightChars="0" w:firstLine="0" w:firstLineChars="0"/>
        <w:jc w:val="center"/>
        <w:rPr>
          <w:rFonts w:ascii="仿宋" w:hAnsi="仿宋" w:eastAsia="仿宋"/>
          <w:b/>
          <w:bCs/>
          <w:sz w:val="24"/>
        </w:rPr>
      </w:pPr>
      <w:r>
        <w:rPr>
          <w:rFonts w:ascii="仿宋" w:hAnsi="仿宋" w:eastAsia="仿宋"/>
          <w:b/>
          <w:bCs/>
          <w:sz w:val="24"/>
        </w:rPr>
        <w:t>表</w:t>
      </w:r>
      <w:r>
        <w:rPr>
          <w:rFonts w:hint="eastAsia" w:ascii="仿宋" w:hAnsi="仿宋" w:eastAsia="仿宋"/>
          <w:b/>
          <w:bCs/>
          <w:sz w:val="24"/>
        </w:rPr>
        <w:t>2.2-</w:t>
      </w:r>
      <w:r>
        <w:rPr>
          <w:rFonts w:ascii="仿宋" w:hAnsi="仿宋" w:eastAsia="仿宋"/>
          <w:b/>
          <w:bCs/>
          <w:sz w:val="24"/>
        </w:rPr>
        <w:t>1</w:t>
      </w:r>
      <w:r>
        <w:rPr>
          <w:rFonts w:hint="eastAsia" w:ascii="仿宋" w:hAnsi="仿宋" w:eastAsia="仿宋"/>
          <w:b/>
          <w:bCs/>
          <w:sz w:val="24"/>
        </w:rPr>
        <w:t xml:space="preserve">0  </w:t>
      </w:r>
      <w:r>
        <w:rPr>
          <w:rFonts w:ascii="仿宋" w:hAnsi="仿宋" w:eastAsia="仿宋"/>
          <w:b/>
          <w:bCs/>
          <w:sz w:val="24"/>
        </w:rPr>
        <w:t>固体废</w:t>
      </w:r>
      <w:r>
        <w:rPr>
          <w:rFonts w:hint="eastAsia" w:ascii="仿宋" w:hAnsi="仿宋" w:eastAsia="仿宋"/>
          <w:b/>
          <w:bCs/>
          <w:sz w:val="24"/>
          <w:lang w:eastAsia="zh-CN"/>
        </w:rPr>
        <w:t>弃</w:t>
      </w:r>
      <w:r>
        <w:rPr>
          <w:rFonts w:ascii="仿宋" w:hAnsi="仿宋" w:eastAsia="仿宋"/>
          <w:b/>
          <w:bCs/>
          <w:sz w:val="24"/>
        </w:rPr>
        <w:t>物排放状况</w:t>
      </w:r>
      <w:r>
        <w:rPr>
          <w:rFonts w:hint="eastAsia" w:ascii="仿宋" w:hAnsi="仿宋" w:eastAsia="仿宋"/>
          <w:b/>
          <w:bCs/>
          <w:sz w:val="24"/>
          <w:lang w:eastAsia="zh-CN"/>
        </w:rPr>
        <w:t>一览</w:t>
      </w:r>
      <w:r>
        <w:rPr>
          <w:rFonts w:ascii="仿宋" w:hAnsi="仿宋" w:eastAsia="仿宋"/>
          <w:b/>
          <w:bCs/>
          <w:sz w:val="24"/>
        </w:rPr>
        <w:t>表</w:t>
      </w:r>
      <w:bookmarkEnd w:id="104"/>
    </w:p>
    <w:tbl>
      <w:tblPr>
        <w:tblStyle w:val="39"/>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1835"/>
        <w:gridCol w:w="1835"/>
        <w:gridCol w:w="1835"/>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top w:val="single" w:color="auto" w:sz="12" w:space="0"/>
              <w:left w:val="nil"/>
              <w:bottom w:val="double" w:color="auto" w:sz="4" w:space="0"/>
            </w:tcBorders>
            <w:vAlign w:val="center"/>
          </w:tcPr>
          <w:p>
            <w:pPr>
              <w:snapToGrid w:val="0"/>
              <w:jc w:val="center"/>
              <w:rPr>
                <w:rFonts w:hint="eastAsia"/>
                <w:color w:val="000000"/>
                <w:sz w:val="21"/>
                <w:szCs w:val="21"/>
              </w:rPr>
            </w:pPr>
            <w:bookmarkStart w:id="128" w:name="_Toc257571818"/>
            <w:bookmarkStart w:id="129" w:name="_Toc256605306"/>
            <w:r>
              <w:rPr>
                <w:rFonts w:hint="eastAsia"/>
                <w:color w:val="000000"/>
                <w:sz w:val="21"/>
                <w:szCs w:val="21"/>
              </w:rPr>
              <w:t>序号</w:t>
            </w:r>
            <w:bookmarkEnd w:id="128"/>
            <w:bookmarkEnd w:id="129"/>
          </w:p>
        </w:tc>
        <w:tc>
          <w:tcPr>
            <w:tcW w:w="1835" w:type="dxa"/>
            <w:tcBorders>
              <w:top w:val="single" w:color="auto" w:sz="12" w:space="0"/>
              <w:bottom w:val="double" w:color="auto" w:sz="4" w:space="0"/>
            </w:tcBorders>
            <w:vAlign w:val="center"/>
          </w:tcPr>
          <w:p>
            <w:pPr>
              <w:snapToGrid w:val="0"/>
              <w:jc w:val="both"/>
              <w:rPr>
                <w:rFonts w:hint="eastAsia"/>
                <w:color w:val="000000"/>
                <w:sz w:val="21"/>
                <w:szCs w:val="21"/>
              </w:rPr>
            </w:pPr>
            <w:bookmarkStart w:id="130" w:name="_Toc256605307"/>
            <w:bookmarkStart w:id="131" w:name="_Toc257571819"/>
            <w:r>
              <w:rPr>
                <w:rFonts w:hint="eastAsia"/>
                <w:color w:val="000000"/>
                <w:sz w:val="21"/>
                <w:szCs w:val="21"/>
              </w:rPr>
              <w:t>种类</w:t>
            </w:r>
            <w:bookmarkEnd w:id="130"/>
            <w:bookmarkEnd w:id="131"/>
          </w:p>
        </w:tc>
        <w:tc>
          <w:tcPr>
            <w:tcW w:w="1835" w:type="dxa"/>
            <w:tcBorders>
              <w:top w:val="single" w:color="auto" w:sz="12" w:space="0"/>
              <w:bottom w:val="double" w:color="auto" w:sz="4" w:space="0"/>
            </w:tcBorders>
            <w:vAlign w:val="center"/>
          </w:tcPr>
          <w:p>
            <w:pPr>
              <w:snapToGrid w:val="0"/>
              <w:ind w:left="0" w:leftChars="0" w:firstLine="0" w:firstLineChars="0"/>
              <w:jc w:val="both"/>
              <w:rPr>
                <w:rFonts w:hint="eastAsia"/>
                <w:color w:val="000000"/>
                <w:sz w:val="21"/>
                <w:szCs w:val="21"/>
              </w:rPr>
            </w:pPr>
            <w:bookmarkStart w:id="132" w:name="_Toc257571820"/>
            <w:bookmarkStart w:id="133" w:name="_Toc256605308"/>
            <w:r>
              <w:rPr>
                <w:rFonts w:hint="eastAsia"/>
                <w:color w:val="000000"/>
                <w:sz w:val="21"/>
                <w:szCs w:val="21"/>
              </w:rPr>
              <w:t>主要成分</w:t>
            </w:r>
            <w:bookmarkEnd w:id="132"/>
            <w:bookmarkEnd w:id="133"/>
          </w:p>
        </w:tc>
        <w:tc>
          <w:tcPr>
            <w:tcW w:w="1835" w:type="dxa"/>
            <w:tcBorders>
              <w:top w:val="single" w:color="auto" w:sz="12" w:space="0"/>
              <w:bottom w:val="double" w:color="auto" w:sz="4" w:space="0"/>
            </w:tcBorders>
            <w:vAlign w:val="center"/>
          </w:tcPr>
          <w:p>
            <w:pPr>
              <w:snapToGrid w:val="0"/>
              <w:ind w:left="0" w:leftChars="0" w:firstLine="0" w:firstLineChars="0"/>
              <w:jc w:val="both"/>
              <w:rPr>
                <w:rFonts w:hint="eastAsia"/>
                <w:color w:val="000000"/>
                <w:sz w:val="21"/>
                <w:szCs w:val="21"/>
              </w:rPr>
            </w:pPr>
            <w:bookmarkStart w:id="134" w:name="_Toc257571821"/>
            <w:bookmarkStart w:id="135" w:name="_Toc256605309"/>
            <w:r>
              <w:rPr>
                <w:rFonts w:hint="eastAsia"/>
                <w:color w:val="000000"/>
                <w:sz w:val="21"/>
                <w:szCs w:val="21"/>
              </w:rPr>
              <w:t>产生量（t/a）</w:t>
            </w:r>
            <w:bookmarkEnd w:id="134"/>
            <w:bookmarkEnd w:id="135"/>
          </w:p>
        </w:tc>
        <w:tc>
          <w:tcPr>
            <w:tcW w:w="1835" w:type="dxa"/>
            <w:tcBorders>
              <w:top w:val="single" w:color="auto" w:sz="12" w:space="0"/>
              <w:bottom w:val="double" w:color="auto" w:sz="4" w:space="0"/>
              <w:right w:val="nil"/>
            </w:tcBorders>
            <w:vAlign w:val="center"/>
          </w:tcPr>
          <w:p>
            <w:pPr>
              <w:snapToGrid w:val="0"/>
              <w:jc w:val="center"/>
              <w:rPr>
                <w:rFonts w:hint="eastAsia"/>
                <w:color w:val="000000"/>
                <w:sz w:val="21"/>
                <w:szCs w:val="21"/>
              </w:rPr>
            </w:pPr>
            <w:bookmarkStart w:id="136" w:name="_Toc256605310"/>
            <w:bookmarkStart w:id="137" w:name="_Toc257571822"/>
            <w:r>
              <w:rPr>
                <w:rFonts w:hint="eastAsia"/>
                <w:color w:val="000000"/>
                <w:sz w:val="21"/>
                <w:szCs w:val="21"/>
              </w:rPr>
              <w:t>措施</w:t>
            </w:r>
            <w:bookmarkEnd w:id="136"/>
            <w:bookmarkEnd w:id="1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top w:val="double" w:color="auto" w:sz="4" w:space="0"/>
              <w:left w:val="nil"/>
            </w:tcBorders>
            <w:vAlign w:val="center"/>
          </w:tcPr>
          <w:p>
            <w:pPr>
              <w:snapToGrid w:val="0"/>
              <w:jc w:val="center"/>
              <w:rPr>
                <w:rFonts w:hint="eastAsia"/>
                <w:color w:val="000000"/>
                <w:sz w:val="21"/>
                <w:szCs w:val="21"/>
              </w:rPr>
            </w:pPr>
            <w:bookmarkStart w:id="138" w:name="_Toc256605311"/>
            <w:bookmarkStart w:id="139" w:name="_Toc257571823"/>
            <w:r>
              <w:rPr>
                <w:rFonts w:hint="eastAsia"/>
                <w:color w:val="000000"/>
                <w:sz w:val="21"/>
                <w:szCs w:val="21"/>
              </w:rPr>
              <w:t>1</w:t>
            </w:r>
            <w:bookmarkEnd w:id="138"/>
            <w:bookmarkEnd w:id="139"/>
          </w:p>
        </w:tc>
        <w:tc>
          <w:tcPr>
            <w:tcW w:w="1835" w:type="dxa"/>
            <w:tcBorders>
              <w:top w:val="double" w:color="auto" w:sz="4" w:space="0"/>
            </w:tcBorders>
            <w:vAlign w:val="center"/>
          </w:tcPr>
          <w:p>
            <w:pPr>
              <w:snapToGrid w:val="0"/>
              <w:ind w:left="0" w:leftChars="0" w:firstLine="0" w:firstLineChars="0"/>
              <w:jc w:val="both"/>
              <w:rPr>
                <w:rFonts w:hint="eastAsia"/>
                <w:color w:val="000000"/>
                <w:sz w:val="21"/>
                <w:szCs w:val="21"/>
              </w:rPr>
            </w:pPr>
            <w:bookmarkStart w:id="140" w:name="_Toc257571824"/>
            <w:bookmarkStart w:id="141" w:name="_Toc256605312"/>
            <w:r>
              <w:rPr>
                <w:rFonts w:hint="eastAsia"/>
                <w:color w:val="000000"/>
                <w:sz w:val="21"/>
                <w:szCs w:val="21"/>
              </w:rPr>
              <w:t>炉灰渣</w:t>
            </w:r>
            <w:bookmarkEnd w:id="140"/>
            <w:bookmarkEnd w:id="141"/>
          </w:p>
        </w:tc>
        <w:tc>
          <w:tcPr>
            <w:tcW w:w="1835" w:type="dxa"/>
            <w:tcBorders>
              <w:top w:val="double" w:color="auto" w:sz="4" w:space="0"/>
            </w:tcBorders>
            <w:vAlign w:val="center"/>
          </w:tcPr>
          <w:p>
            <w:pPr>
              <w:snapToGrid w:val="0"/>
              <w:ind w:left="0" w:leftChars="0" w:firstLine="0" w:firstLineChars="0"/>
              <w:jc w:val="both"/>
              <w:rPr>
                <w:rFonts w:hint="eastAsia"/>
                <w:color w:val="000000"/>
                <w:sz w:val="21"/>
                <w:szCs w:val="21"/>
              </w:rPr>
            </w:pPr>
            <w:bookmarkStart w:id="142" w:name="_Toc256605313"/>
            <w:bookmarkStart w:id="143" w:name="_Toc257571825"/>
            <w:r>
              <w:rPr>
                <w:rFonts w:hint="eastAsia"/>
                <w:color w:val="000000"/>
                <w:sz w:val="21"/>
                <w:szCs w:val="21"/>
              </w:rPr>
              <w:t>炉渣</w:t>
            </w:r>
            <w:bookmarkEnd w:id="142"/>
            <w:bookmarkEnd w:id="143"/>
          </w:p>
        </w:tc>
        <w:tc>
          <w:tcPr>
            <w:tcW w:w="1835" w:type="dxa"/>
            <w:tcBorders>
              <w:top w:val="double" w:color="auto" w:sz="4" w:space="0"/>
            </w:tcBorders>
            <w:vAlign w:val="center"/>
          </w:tcPr>
          <w:p>
            <w:pPr>
              <w:snapToGrid w:val="0"/>
              <w:jc w:val="center"/>
              <w:rPr>
                <w:rFonts w:hint="eastAsia"/>
                <w:color w:val="000000"/>
                <w:sz w:val="21"/>
                <w:szCs w:val="21"/>
              </w:rPr>
            </w:pPr>
            <w:bookmarkStart w:id="144" w:name="_Toc256605314"/>
            <w:bookmarkStart w:id="145" w:name="_Toc257571826"/>
            <w:r>
              <w:rPr>
                <w:rFonts w:hint="eastAsia"/>
                <w:color w:val="000000"/>
                <w:sz w:val="21"/>
                <w:szCs w:val="21"/>
              </w:rPr>
              <w:t>1152</w:t>
            </w:r>
            <w:bookmarkEnd w:id="144"/>
            <w:bookmarkEnd w:id="145"/>
          </w:p>
        </w:tc>
        <w:tc>
          <w:tcPr>
            <w:tcW w:w="1835" w:type="dxa"/>
            <w:tcBorders>
              <w:top w:val="double" w:color="auto" w:sz="4" w:space="0"/>
              <w:right w:val="nil"/>
            </w:tcBorders>
            <w:vAlign w:val="center"/>
          </w:tcPr>
          <w:p>
            <w:pPr>
              <w:snapToGrid w:val="0"/>
              <w:ind w:left="0" w:leftChars="0" w:firstLine="0" w:firstLineChars="0"/>
              <w:jc w:val="both"/>
              <w:rPr>
                <w:rFonts w:hint="eastAsia"/>
                <w:color w:val="000000"/>
                <w:sz w:val="21"/>
                <w:szCs w:val="21"/>
              </w:rPr>
            </w:pPr>
            <w:bookmarkStart w:id="146" w:name="_Toc256605315"/>
            <w:bookmarkStart w:id="147" w:name="_Toc257571827"/>
            <w:r>
              <w:rPr>
                <w:rFonts w:hint="eastAsia"/>
                <w:color w:val="000000"/>
                <w:sz w:val="21"/>
                <w:szCs w:val="21"/>
              </w:rPr>
              <w:t>作建材的原料</w:t>
            </w:r>
            <w:bookmarkEnd w:id="146"/>
            <w:bookmarkEnd w:id="1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left w:val="nil"/>
            </w:tcBorders>
            <w:vAlign w:val="center"/>
          </w:tcPr>
          <w:p>
            <w:pPr>
              <w:snapToGrid w:val="0"/>
              <w:jc w:val="center"/>
              <w:rPr>
                <w:rFonts w:hint="eastAsia"/>
                <w:color w:val="000000"/>
                <w:sz w:val="21"/>
                <w:szCs w:val="21"/>
              </w:rPr>
            </w:pPr>
            <w:bookmarkStart w:id="148" w:name="_Toc256605316"/>
            <w:bookmarkStart w:id="149" w:name="_Toc257571828"/>
            <w:r>
              <w:rPr>
                <w:rFonts w:hint="eastAsia"/>
                <w:color w:val="000000"/>
                <w:sz w:val="21"/>
                <w:szCs w:val="21"/>
              </w:rPr>
              <w:t>2</w:t>
            </w:r>
            <w:bookmarkEnd w:id="148"/>
            <w:bookmarkEnd w:id="149"/>
          </w:p>
        </w:tc>
        <w:tc>
          <w:tcPr>
            <w:tcW w:w="1835" w:type="dxa"/>
            <w:vAlign w:val="center"/>
          </w:tcPr>
          <w:p>
            <w:pPr>
              <w:snapToGrid w:val="0"/>
              <w:ind w:left="0" w:leftChars="0" w:firstLine="0" w:firstLineChars="0"/>
              <w:jc w:val="both"/>
              <w:rPr>
                <w:rFonts w:hint="eastAsia"/>
                <w:color w:val="000000"/>
                <w:sz w:val="21"/>
                <w:szCs w:val="21"/>
              </w:rPr>
            </w:pPr>
            <w:bookmarkStart w:id="150" w:name="_Toc257571829"/>
            <w:bookmarkStart w:id="151" w:name="_Toc256605317"/>
            <w:r>
              <w:rPr>
                <w:rFonts w:hint="eastAsia"/>
                <w:color w:val="000000"/>
                <w:sz w:val="21"/>
                <w:szCs w:val="21"/>
              </w:rPr>
              <w:t>反应灰渣</w:t>
            </w:r>
            <w:bookmarkEnd w:id="150"/>
            <w:bookmarkEnd w:id="151"/>
          </w:p>
        </w:tc>
        <w:tc>
          <w:tcPr>
            <w:tcW w:w="1835" w:type="dxa"/>
            <w:vMerge w:val="restart"/>
            <w:vAlign w:val="center"/>
          </w:tcPr>
          <w:p>
            <w:pPr>
              <w:snapToGrid w:val="0"/>
              <w:ind w:left="0" w:leftChars="0" w:firstLine="0" w:firstLineChars="0"/>
              <w:jc w:val="both"/>
              <w:rPr>
                <w:rFonts w:hint="eastAsia"/>
                <w:color w:val="000000"/>
                <w:sz w:val="21"/>
                <w:szCs w:val="21"/>
              </w:rPr>
            </w:pPr>
            <w:r>
              <w:rPr>
                <w:rFonts w:hint="eastAsia"/>
                <w:color w:val="000000"/>
                <w:sz w:val="21"/>
                <w:szCs w:val="21"/>
              </w:rPr>
              <w:t>二氧化硅、锌、铁、锰、铅、镍、镉</w:t>
            </w:r>
          </w:p>
        </w:tc>
        <w:tc>
          <w:tcPr>
            <w:tcW w:w="1835" w:type="dxa"/>
            <w:vAlign w:val="center"/>
          </w:tcPr>
          <w:p>
            <w:pPr>
              <w:snapToGrid w:val="0"/>
              <w:jc w:val="center"/>
              <w:rPr>
                <w:rFonts w:hint="eastAsia"/>
                <w:color w:val="000000"/>
                <w:sz w:val="21"/>
                <w:szCs w:val="21"/>
              </w:rPr>
            </w:pPr>
            <w:r>
              <w:rPr>
                <w:rFonts w:hint="eastAsia"/>
                <w:color w:val="000000"/>
                <w:sz w:val="21"/>
                <w:szCs w:val="21"/>
              </w:rPr>
              <w:t>240</w:t>
            </w:r>
          </w:p>
        </w:tc>
        <w:tc>
          <w:tcPr>
            <w:tcW w:w="1835" w:type="dxa"/>
            <w:vMerge w:val="restart"/>
            <w:tcBorders>
              <w:right w:val="nil"/>
            </w:tcBorders>
            <w:vAlign w:val="center"/>
          </w:tcPr>
          <w:p>
            <w:pPr>
              <w:snapToGrid w:val="0"/>
              <w:jc w:val="center"/>
              <w:rPr>
                <w:rFonts w:hint="eastAsia"/>
                <w:color w:val="000000"/>
                <w:sz w:val="21"/>
                <w:szCs w:val="21"/>
              </w:rPr>
            </w:pPr>
          </w:p>
          <w:p>
            <w:pPr>
              <w:snapToGrid w:val="0"/>
              <w:ind w:left="0" w:leftChars="0" w:firstLine="0" w:firstLineChars="0"/>
              <w:jc w:val="both"/>
              <w:rPr>
                <w:rFonts w:hint="eastAsia"/>
                <w:color w:val="000000"/>
                <w:sz w:val="21"/>
                <w:szCs w:val="21"/>
              </w:rPr>
            </w:pPr>
            <w:bookmarkStart w:id="152" w:name="_Toc257571832"/>
            <w:r>
              <w:rPr>
                <w:rFonts w:hint="eastAsia"/>
                <w:color w:val="000000"/>
                <w:sz w:val="21"/>
                <w:szCs w:val="21"/>
              </w:rPr>
              <w:t>送往</w:t>
            </w:r>
            <w:bookmarkEnd w:id="152"/>
            <w:r>
              <w:rPr>
                <w:rFonts w:hint="eastAsia"/>
                <w:color w:val="000000"/>
                <w:sz w:val="21"/>
                <w:szCs w:val="21"/>
              </w:rPr>
              <w:t>有</w:t>
            </w:r>
            <w:r>
              <w:rPr>
                <w:rFonts w:hint="eastAsia"/>
                <w:color w:val="000000"/>
                <w:sz w:val="21"/>
                <w:szCs w:val="21"/>
                <w:lang w:eastAsia="zh-CN"/>
              </w:rPr>
              <w:t>处理</w:t>
            </w:r>
            <w:r>
              <w:rPr>
                <w:rFonts w:hint="eastAsia"/>
                <w:color w:val="000000"/>
                <w:sz w:val="21"/>
                <w:szCs w:val="21"/>
              </w:rPr>
              <w:t>资质的企业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left w:val="nil"/>
            </w:tcBorders>
            <w:vAlign w:val="center"/>
          </w:tcPr>
          <w:p>
            <w:pPr>
              <w:snapToGrid w:val="0"/>
              <w:jc w:val="center"/>
              <w:rPr>
                <w:rFonts w:hint="eastAsia"/>
                <w:color w:val="000000"/>
                <w:sz w:val="21"/>
                <w:szCs w:val="21"/>
              </w:rPr>
            </w:pPr>
            <w:bookmarkStart w:id="153" w:name="_Toc257571833"/>
            <w:bookmarkStart w:id="154" w:name="_Toc256605321"/>
            <w:r>
              <w:rPr>
                <w:rFonts w:hint="eastAsia"/>
                <w:color w:val="000000"/>
                <w:sz w:val="21"/>
                <w:szCs w:val="21"/>
              </w:rPr>
              <w:t>3</w:t>
            </w:r>
            <w:bookmarkEnd w:id="153"/>
            <w:bookmarkEnd w:id="154"/>
          </w:p>
        </w:tc>
        <w:tc>
          <w:tcPr>
            <w:tcW w:w="1835" w:type="dxa"/>
            <w:vAlign w:val="center"/>
          </w:tcPr>
          <w:p>
            <w:pPr>
              <w:snapToGrid w:val="0"/>
              <w:ind w:left="0" w:leftChars="0" w:firstLine="0" w:firstLineChars="0"/>
              <w:jc w:val="both"/>
              <w:rPr>
                <w:rFonts w:hint="eastAsia"/>
                <w:color w:val="000000"/>
                <w:sz w:val="21"/>
                <w:szCs w:val="21"/>
              </w:rPr>
            </w:pPr>
            <w:bookmarkStart w:id="155" w:name="_Toc256605322"/>
            <w:bookmarkStart w:id="156" w:name="_Toc257571834"/>
            <w:r>
              <w:rPr>
                <w:rFonts w:hint="eastAsia"/>
                <w:color w:val="000000"/>
                <w:sz w:val="21"/>
                <w:szCs w:val="21"/>
              </w:rPr>
              <w:t>净化灰渣</w:t>
            </w:r>
            <w:bookmarkEnd w:id="155"/>
            <w:bookmarkEnd w:id="156"/>
          </w:p>
        </w:tc>
        <w:tc>
          <w:tcPr>
            <w:tcW w:w="1835" w:type="dxa"/>
            <w:vMerge w:val="continue"/>
            <w:vAlign w:val="center"/>
          </w:tcPr>
          <w:p>
            <w:pPr>
              <w:snapToGrid w:val="0"/>
              <w:jc w:val="center"/>
              <w:rPr>
                <w:rFonts w:hint="eastAsia"/>
                <w:color w:val="000000"/>
                <w:sz w:val="21"/>
                <w:szCs w:val="21"/>
              </w:rPr>
            </w:pPr>
          </w:p>
        </w:tc>
        <w:tc>
          <w:tcPr>
            <w:tcW w:w="1835" w:type="dxa"/>
            <w:vAlign w:val="center"/>
          </w:tcPr>
          <w:p>
            <w:pPr>
              <w:snapToGrid w:val="0"/>
              <w:jc w:val="center"/>
              <w:rPr>
                <w:rFonts w:hint="eastAsia"/>
                <w:color w:val="000000"/>
                <w:sz w:val="21"/>
                <w:szCs w:val="21"/>
              </w:rPr>
            </w:pPr>
            <w:r>
              <w:rPr>
                <w:rFonts w:hint="eastAsia"/>
                <w:color w:val="000000"/>
                <w:sz w:val="21"/>
                <w:szCs w:val="21"/>
              </w:rPr>
              <w:t>60</w:t>
            </w:r>
          </w:p>
        </w:tc>
        <w:tc>
          <w:tcPr>
            <w:tcW w:w="1835" w:type="dxa"/>
            <w:vMerge w:val="continue"/>
            <w:tcBorders>
              <w:right w:val="nil"/>
            </w:tcBorders>
            <w:vAlign w:val="center"/>
          </w:tcPr>
          <w:p>
            <w:pPr>
              <w:snapToGrid w:val="0"/>
              <w:jc w:val="center"/>
              <w:rPr>
                <w:rFonts w:hint="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left w:val="nil"/>
            </w:tcBorders>
            <w:vAlign w:val="center"/>
          </w:tcPr>
          <w:p>
            <w:pPr>
              <w:snapToGrid w:val="0"/>
              <w:jc w:val="center"/>
              <w:rPr>
                <w:rFonts w:hint="eastAsia"/>
                <w:color w:val="000000"/>
                <w:sz w:val="21"/>
                <w:szCs w:val="21"/>
              </w:rPr>
            </w:pPr>
            <w:bookmarkStart w:id="157" w:name="_Toc256605326"/>
            <w:bookmarkStart w:id="158" w:name="_Toc257571837"/>
            <w:r>
              <w:rPr>
                <w:rFonts w:hint="eastAsia"/>
                <w:color w:val="000000"/>
                <w:sz w:val="21"/>
                <w:szCs w:val="21"/>
              </w:rPr>
              <w:t>4</w:t>
            </w:r>
            <w:bookmarkEnd w:id="157"/>
            <w:bookmarkEnd w:id="158"/>
          </w:p>
        </w:tc>
        <w:tc>
          <w:tcPr>
            <w:tcW w:w="1835" w:type="dxa"/>
            <w:vAlign w:val="center"/>
          </w:tcPr>
          <w:p>
            <w:pPr>
              <w:snapToGrid w:val="0"/>
              <w:ind w:left="0" w:leftChars="0" w:firstLine="0" w:firstLineChars="0"/>
              <w:jc w:val="both"/>
              <w:rPr>
                <w:rFonts w:hint="eastAsia"/>
                <w:color w:val="000000"/>
                <w:sz w:val="21"/>
                <w:szCs w:val="21"/>
              </w:rPr>
            </w:pPr>
            <w:bookmarkStart w:id="159" w:name="_Toc257571838"/>
            <w:bookmarkStart w:id="160" w:name="_Toc256605327"/>
            <w:r>
              <w:rPr>
                <w:rFonts w:hint="eastAsia"/>
                <w:color w:val="000000"/>
                <w:sz w:val="21"/>
                <w:szCs w:val="21"/>
              </w:rPr>
              <w:t>浸出压滤灰渣</w:t>
            </w:r>
            <w:bookmarkEnd w:id="159"/>
            <w:bookmarkEnd w:id="160"/>
          </w:p>
        </w:tc>
        <w:tc>
          <w:tcPr>
            <w:tcW w:w="1835" w:type="dxa"/>
            <w:vMerge w:val="continue"/>
            <w:vAlign w:val="center"/>
          </w:tcPr>
          <w:p>
            <w:pPr>
              <w:snapToGrid w:val="0"/>
              <w:jc w:val="center"/>
              <w:rPr>
                <w:rFonts w:hint="eastAsia"/>
                <w:color w:val="000000"/>
                <w:sz w:val="21"/>
                <w:szCs w:val="21"/>
              </w:rPr>
            </w:pPr>
          </w:p>
        </w:tc>
        <w:tc>
          <w:tcPr>
            <w:tcW w:w="1835" w:type="dxa"/>
            <w:vAlign w:val="center"/>
          </w:tcPr>
          <w:p>
            <w:pPr>
              <w:snapToGrid w:val="0"/>
              <w:jc w:val="center"/>
              <w:rPr>
                <w:rFonts w:hint="eastAsia"/>
                <w:color w:val="000000"/>
                <w:sz w:val="21"/>
                <w:szCs w:val="21"/>
              </w:rPr>
            </w:pPr>
            <w:r>
              <w:rPr>
                <w:rFonts w:hint="eastAsia"/>
                <w:color w:val="000000"/>
                <w:sz w:val="21"/>
                <w:szCs w:val="21"/>
              </w:rPr>
              <w:t>200</w:t>
            </w:r>
          </w:p>
        </w:tc>
        <w:tc>
          <w:tcPr>
            <w:tcW w:w="1835" w:type="dxa"/>
            <w:vMerge w:val="continue"/>
            <w:tcBorders>
              <w:right w:val="nil"/>
            </w:tcBorders>
            <w:vAlign w:val="center"/>
          </w:tcPr>
          <w:p>
            <w:pPr>
              <w:snapToGrid w:val="0"/>
              <w:jc w:val="center"/>
              <w:rPr>
                <w:rFonts w:hint="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left w:val="nil"/>
            </w:tcBorders>
            <w:vAlign w:val="center"/>
          </w:tcPr>
          <w:p>
            <w:pPr>
              <w:snapToGrid w:val="0"/>
              <w:jc w:val="center"/>
              <w:rPr>
                <w:rFonts w:hint="eastAsia"/>
                <w:color w:val="000000"/>
                <w:sz w:val="21"/>
                <w:szCs w:val="21"/>
              </w:rPr>
            </w:pPr>
            <w:bookmarkStart w:id="161" w:name="_Toc256605331"/>
            <w:bookmarkStart w:id="162" w:name="_Toc257571841"/>
            <w:r>
              <w:rPr>
                <w:rFonts w:hint="eastAsia"/>
                <w:color w:val="000000"/>
                <w:sz w:val="21"/>
                <w:szCs w:val="21"/>
              </w:rPr>
              <w:t>5</w:t>
            </w:r>
            <w:bookmarkEnd w:id="161"/>
            <w:bookmarkEnd w:id="162"/>
          </w:p>
        </w:tc>
        <w:tc>
          <w:tcPr>
            <w:tcW w:w="1835" w:type="dxa"/>
            <w:vAlign w:val="center"/>
          </w:tcPr>
          <w:p>
            <w:pPr>
              <w:snapToGrid w:val="0"/>
              <w:ind w:left="0" w:leftChars="0" w:firstLine="0" w:firstLineChars="0"/>
              <w:jc w:val="both"/>
              <w:rPr>
                <w:rFonts w:hint="eastAsia"/>
                <w:color w:val="000000"/>
                <w:sz w:val="21"/>
                <w:szCs w:val="21"/>
              </w:rPr>
            </w:pPr>
            <w:bookmarkStart w:id="163" w:name="_Toc256605332"/>
            <w:bookmarkStart w:id="164" w:name="_Toc257571842"/>
            <w:r>
              <w:rPr>
                <w:rFonts w:hint="eastAsia"/>
                <w:color w:val="000000"/>
                <w:sz w:val="21"/>
                <w:szCs w:val="21"/>
              </w:rPr>
              <w:t>生活垃圾</w:t>
            </w:r>
            <w:bookmarkEnd w:id="163"/>
            <w:bookmarkEnd w:id="164"/>
          </w:p>
        </w:tc>
        <w:tc>
          <w:tcPr>
            <w:tcW w:w="1835" w:type="dxa"/>
            <w:vAlign w:val="center"/>
          </w:tcPr>
          <w:p>
            <w:pPr>
              <w:snapToGrid w:val="0"/>
              <w:ind w:left="0" w:leftChars="0" w:firstLine="0" w:firstLineChars="0"/>
              <w:jc w:val="both"/>
              <w:rPr>
                <w:rFonts w:hint="eastAsia"/>
                <w:color w:val="000000"/>
                <w:sz w:val="21"/>
                <w:szCs w:val="21"/>
              </w:rPr>
            </w:pPr>
            <w:bookmarkStart w:id="165" w:name="_Toc256605333"/>
            <w:bookmarkStart w:id="166" w:name="_Toc257571843"/>
            <w:r>
              <w:rPr>
                <w:rFonts w:hint="eastAsia"/>
                <w:color w:val="000000"/>
                <w:sz w:val="21"/>
                <w:szCs w:val="21"/>
              </w:rPr>
              <w:t>废纸、菜叶等</w:t>
            </w:r>
            <w:bookmarkEnd w:id="165"/>
            <w:bookmarkEnd w:id="166"/>
          </w:p>
        </w:tc>
        <w:tc>
          <w:tcPr>
            <w:tcW w:w="1835" w:type="dxa"/>
            <w:vAlign w:val="center"/>
          </w:tcPr>
          <w:p>
            <w:pPr>
              <w:snapToGrid w:val="0"/>
              <w:jc w:val="center"/>
              <w:rPr>
                <w:rFonts w:hint="eastAsia"/>
                <w:color w:val="000000"/>
                <w:sz w:val="21"/>
                <w:szCs w:val="21"/>
              </w:rPr>
            </w:pPr>
            <w:bookmarkStart w:id="167" w:name="_Toc257571844"/>
            <w:bookmarkStart w:id="168" w:name="_Toc256605334"/>
            <w:r>
              <w:rPr>
                <w:rFonts w:hint="eastAsia"/>
                <w:color w:val="000000"/>
                <w:sz w:val="21"/>
                <w:szCs w:val="21"/>
              </w:rPr>
              <w:t>7.5</w:t>
            </w:r>
            <w:bookmarkEnd w:id="167"/>
            <w:bookmarkEnd w:id="168"/>
          </w:p>
        </w:tc>
        <w:tc>
          <w:tcPr>
            <w:tcW w:w="1835" w:type="dxa"/>
            <w:tcBorders>
              <w:right w:val="nil"/>
            </w:tcBorders>
            <w:vAlign w:val="center"/>
          </w:tcPr>
          <w:p>
            <w:pPr>
              <w:snapToGrid w:val="0"/>
              <w:jc w:val="center"/>
              <w:rPr>
                <w:rFonts w:hint="eastAsia"/>
                <w:color w:val="000000"/>
                <w:sz w:val="21"/>
                <w:szCs w:val="21"/>
              </w:rPr>
            </w:pPr>
            <w:bookmarkStart w:id="169" w:name="_Toc257571845"/>
            <w:bookmarkStart w:id="170" w:name="_Toc256605335"/>
            <w:r>
              <w:rPr>
                <w:rFonts w:hint="eastAsia"/>
                <w:color w:val="000000"/>
                <w:sz w:val="21"/>
                <w:szCs w:val="21"/>
              </w:rPr>
              <w:t>填埋</w:t>
            </w:r>
            <w:bookmarkEnd w:id="169"/>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34" w:type="dxa"/>
            <w:tcBorders>
              <w:left w:val="nil"/>
              <w:bottom w:val="single" w:color="auto" w:sz="12" w:space="0"/>
            </w:tcBorders>
            <w:vAlign w:val="center"/>
          </w:tcPr>
          <w:p>
            <w:pPr>
              <w:snapToGrid w:val="0"/>
              <w:jc w:val="center"/>
              <w:rPr>
                <w:rFonts w:hint="eastAsia"/>
                <w:color w:val="000000"/>
                <w:sz w:val="21"/>
                <w:szCs w:val="21"/>
              </w:rPr>
            </w:pPr>
            <w:bookmarkStart w:id="171" w:name="_Toc257571846"/>
            <w:bookmarkStart w:id="172" w:name="_Toc256605336"/>
            <w:r>
              <w:rPr>
                <w:rFonts w:hint="eastAsia"/>
                <w:color w:val="000000"/>
                <w:sz w:val="21"/>
                <w:szCs w:val="21"/>
              </w:rPr>
              <w:t>6</w:t>
            </w:r>
            <w:bookmarkEnd w:id="171"/>
            <w:bookmarkEnd w:id="172"/>
          </w:p>
        </w:tc>
        <w:tc>
          <w:tcPr>
            <w:tcW w:w="1835" w:type="dxa"/>
            <w:tcBorders>
              <w:bottom w:val="single" w:color="auto" w:sz="12" w:space="0"/>
            </w:tcBorders>
            <w:vAlign w:val="center"/>
          </w:tcPr>
          <w:p>
            <w:pPr>
              <w:snapToGrid w:val="0"/>
              <w:ind w:left="0" w:leftChars="0" w:firstLine="0" w:firstLineChars="0"/>
              <w:jc w:val="both"/>
              <w:rPr>
                <w:rFonts w:hint="eastAsia"/>
                <w:color w:val="000000"/>
                <w:sz w:val="21"/>
                <w:szCs w:val="21"/>
              </w:rPr>
            </w:pPr>
            <w:bookmarkStart w:id="173" w:name="_Toc257571847"/>
            <w:bookmarkStart w:id="174" w:name="_Toc256605337"/>
            <w:r>
              <w:rPr>
                <w:rFonts w:hint="eastAsia"/>
                <w:color w:val="000000"/>
                <w:sz w:val="21"/>
                <w:szCs w:val="21"/>
              </w:rPr>
              <w:t>污泥</w:t>
            </w:r>
            <w:bookmarkEnd w:id="173"/>
            <w:bookmarkEnd w:id="174"/>
          </w:p>
        </w:tc>
        <w:tc>
          <w:tcPr>
            <w:tcW w:w="1835" w:type="dxa"/>
            <w:tcBorders>
              <w:bottom w:val="single" w:color="auto" w:sz="12" w:space="0"/>
            </w:tcBorders>
            <w:vAlign w:val="center"/>
          </w:tcPr>
          <w:p>
            <w:pPr>
              <w:snapToGrid w:val="0"/>
              <w:jc w:val="center"/>
              <w:rPr>
                <w:rFonts w:hint="eastAsia"/>
                <w:color w:val="000000"/>
                <w:sz w:val="21"/>
                <w:szCs w:val="21"/>
              </w:rPr>
            </w:pPr>
          </w:p>
        </w:tc>
        <w:tc>
          <w:tcPr>
            <w:tcW w:w="1835" w:type="dxa"/>
            <w:tcBorders>
              <w:bottom w:val="single" w:color="auto" w:sz="12" w:space="0"/>
            </w:tcBorders>
            <w:vAlign w:val="center"/>
          </w:tcPr>
          <w:p>
            <w:pPr>
              <w:snapToGrid w:val="0"/>
              <w:jc w:val="center"/>
              <w:rPr>
                <w:rFonts w:hint="eastAsia"/>
                <w:color w:val="000000"/>
                <w:sz w:val="21"/>
                <w:szCs w:val="21"/>
              </w:rPr>
            </w:pPr>
            <w:bookmarkStart w:id="175" w:name="_Toc256605338"/>
            <w:bookmarkStart w:id="176" w:name="_Toc257571848"/>
            <w:r>
              <w:rPr>
                <w:rFonts w:hint="eastAsia"/>
                <w:color w:val="000000"/>
                <w:sz w:val="21"/>
                <w:szCs w:val="21"/>
              </w:rPr>
              <w:t>少量</w:t>
            </w:r>
            <w:bookmarkEnd w:id="175"/>
            <w:bookmarkEnd w:id="176"/>
          </w:p>
        </w:tc>
        <w:tc>
          <w:tcPr>
            <w:tcW w:w="1835" w:type="dxa"/>
            <w:tcBorders>
              <w:bottom w:val="single" w:color="auto" w:sz="12" w:space="0"/>
              <w:right w:val="nil"/>
            </w:tcBorders>
            <w:vAlign w:val="center"/>
          </w:tcPr>
          <w:p>
            <w:pPr>
              <w:snapToGrid w:val="0"/>
              <w:jc w:val="center"/>
              <w:rPr>
                <w:rFonts w:hint="eastAsia"/>
                <w:color w:val="000000"/>
                <w:sz w:val="21"/>
                <w:szCs w:val="21"/>
              </w:rPr>
            </w:pPr>
            <w:bookmarkStart w:id="177" w:name="_Toc256605339"/>
            <w:bookmarkStart w:id="178" w:name="_Toc257571849"/>
            <w:r>
              <w:rPr>
                <w:rFonts w:hint="eastAsia"/>
                <w:color w:val="000000"/>
                <w:sz w:val="21"/>
                <w:szCs w:val="21"/>
              </w:rPr>
              <w:t>填埋</w:t>
            </w:r>
            <w:bookmarkEnd w:id="177"/>
            <w:bookmarkEnd w:id="178"/>
          </w:p>
        </w:tc>
      </w:tr>
    </w:tbl>
    <w:p>
      <w:pPr>
        <w:spacing w:line="500" w:lineRule="exact"/>
        <w:ind w:left="0" w:leftChars="0" w:right="0" w:rightChars="0" w:firstLine="0" w:firstLineChars="0"/>
        <w:jc w:val="center"/>
        <w:rPr>
          <w:rFonts w:ascii="仿宋" w:hAnsi="仿宋" w:eastAsia="仿宋"/>
          <w:b/>
          <w:bCs/>
          <w:sz w:val="24"/>
        </w:rPr>
      </w:pPr>
    </w:p>
    <w:p>
      <w:pPr>
        <w:spacing w:line="500" w:lineRule="exact"/>
        <w:ind w:left="0" w:leftChars="0" w:right="0" w:rightChars="0" w:firstLine="0" w:firstLineChars="0"/>
        <w:jc w:val="center"/>
        <w:rPr>
          <w:rFonts w:ascii="仿宋" w:hAnsi="仿宋" w:eastAsia="仿宋"/>
        </w:rPr>
      </w:pPr>
    </w:p>
    <w:p>
      <w:pPr>
        <w:spacing w:line="500" w:lineRule="exact"/>
        <w:ind w:left="0" w:leftChars="0" w:right="0" w:rightChars="0" w:firstLine="0" w:firstLineChars="0"/>
        <w:jc w:val="both"/>
        <w:rPr>
          <w:rFonts w:ascii="仿宋" w:hAnsi="仿宋" w:eastAsia="仿宋"/>
        </w:rPr>
      </w:pPr>
      <w:r>
        <w:rPr>
          <w:rFonts w:ascii="仿宋" w:hAnsi="仿宋" w:eastAsia="仿宋"/>
        </w:rPr>
        <w:t>2.2.</w:t>
      </w:r>
      <w:r>
        <w:rPr>
          <w:rFonts w:hint="eastAsia" w:ascii="仿宋" w:hAnsi="仿宋" w:eastAsia="仿宋"/>
        </w:rPr>
        <w:t>6</w:t>
      </w:r>
      <w:r>
        <w:rPr>
          <w:rFonts w:ascii="仿宋" w:hAnsi="仿宋" w:eastAsia="仿宋"/>
        </w:rPr>
        <w:t>厂区危险物质储存方式</w:t>
      </w:r>
    </w:p>
    <w:p>
      <w:pPr>
        <w:pStyle w:val="4"/>
        <w:ind w:firstLine="560"/>
        <w:rPr>
          <w:rFonts w:ascii="仿宋" w:hAnsi="仿宋" w:eastAsia="仿宋"/>
        </w:rPr>
      </w:pPr>
      <w:r>
        <w:rPr>
          <w:rFonts w:ascii="仿宋" w:hAnsi="仿宋" w:eastAsia="仿宋"/>
        </w:rPr>
        <w:t>本公司生产的原料</w:t>
      </w:r>
      <w:r>
        <w:rPr>
          <w:rFonts w:hint="eastAsia" w:ascii="仿宋" w:hAnsi="仿宋" w:eastAsia="仿宋"/>
          <w:lang w:eastAsia="zh-CN"/>
        </w:rPr>
        <w:t>不属于</w:t>
      </w:r>
      <w:r>
        <w:rPr>
          <w:rFonts w:ascii="仿宋" w:hAnsi="仿宋" w:eastAsia="仿宋"/>
        </w:rPr>
        <w:t>危险废物</w:t>
      </w:r>
      <w:r>
        <w:rPr>
          <w:rFonts w:hint="eastAsia" w:ascii="仿宋" w:hAnsi="仿宋" w:eastAsia="仿宋"/>
        </w:rPr>
        <w:t>，</w:t>
      </w:r>
      <w:r>
        <w:rPr>
          <w:rFonts w:ascii="仿宋" w:hAnsi="仿宋" w:eastAsia="仿宋"/>
        </w:rPr>
        <w:t>处</w:t>
      </w:r>
      <w:r>
        <w:rPr>
          <w:rFonts w:hint="eastAsia" w:ascii="仿宋" w:hAnsi="仿宋" w:eastAsia="仿宋"/>
        </w:rPr>
        <w:t>根据公司环评文件评估内容，本公司</w:t>
      </w:r>
      <w:r>
        <w:rPr>
          <w:rFonts w:hint="eastAsia" w:ascii="仿宋" w:hAnsi="仿宋" w:eastAsia="仿宋"/>
          <w:lang w:eastAsia="zh-CN"/>
        </w:rPr>
        <w:t>产生</w:t>
      </w:r>
      <w:r>
        <w:rPr>
          <w:rFonts w:hint="eastAsia" w:ascii="仿宋" w:hAnsi="仿宋" w:eastAsia="仿宋"/>
        </w:rPr>
        <w:t>危废为</w:t>
      </w:r>
      <w:r>
        <w:rPr>
          <w:rFonts w:hint="eastAsia" w:ascii="仿宋" w:hAnsi="仿宋" w:eastAsia="仿宋"/>
          <w:lang w:eastAsia="zh-CN"/>
        </w:rPr>
        <w:t>含锌等物料</w:t>
      </w:r>
      <w:r>
        <w:rPr>
          <w:rFonts w:hint="eastAsia" w:ascii="仿宋" w:hAnsi="仿宋" w:eastAsia="仿宋"/>
        </w:rPr>
        <w:t>。危险废物采用</w:t>
      </w:r>
      <w:r>
        <w:rPr>
          <w:rFonts w:hint="eastAsia" w:ascii="仿宋" w:hAnsi="仿宋" w:eastAsia="仿宋"/>
          <w:lang w:eastAsia="zh-CN"/>
        </w:rPr>
        <w:t>编织袋</w:t>
      </w:r>
      <w:r>
        <w:rPr>
          <w:rFonts w:hint="eastAsia" w:ascii="仿宋" w:hAnsi="仿宋" w:eastAsia="仿宋"/>
        </w:rPr>
        <w:t>盛装，存放在</w:t>
      </w:r>
      <w:r>
        <w:rPr>
          <w:rFonts w:hint="eastAsia" w:ascii="仿宋" w:hAnsi="仿宋" w:eastAsia="仿宋"/>
          <w:lang w:eastAsia="zh-CN"/>
        </w:rPr>
        <w:t>危险废物仓库中</w:t>
      </w:r>
      <w:r>
        <w:rPr>
          <w:rFonts w:hint="eastAsia" w:ascii="仿宋" w:hAnsi="仿宋" w:eastAsia="仿宋"/>
        </w:rPr>
        <w:t>，按危险固废管理要求，委托有资质单位定期处置。</w:t>
      </w:r>
    </w:p>
    <w:p>
      <w:pPr>
        <w:pStyle w:val="4"/>
        <w:ind w:firstLine="560"/>
        <w:rPr>
          <w:rFonts w:ascii="仿宋" w:hAnsi="仿宋" w:eastAsia="仿宋"/>
        </w:rPr>
      </w:pPr>
      <w:r>
        <w:rPr>
          <w:rFonts w:hint="eastAsia" w:ascii="仿宋" w:hAnsi="仿宋" w:eastAsia="仿宋"/>
        </w:rPr>
        <w:t>库房门口设有明显的危险废物标识牌，地面采取了防渗漏措施，</w:t>
      </w:r>
      <w:r>
        <w:rPr>
          <w:rFonts w:hint="eastAsia" w:ascii="仿宋" w:hAnsi="仿宋" w:eastAsia="仿宋"/>
          <w:lang w:eastAsia="zh-CN"/>
        </w:rPr>
        <w:t>并</w:t>
      </w:r>
      <w:r>
        <w:rPr>
          <w:rFonts w:hint="eastAsia" w:ascii="仿宋" w:hAnsi="仿宋" w:eastAsia="仿宋"/>
        </w:rPr>
        <w:t>贴有标签</w:t>
      </w:r>
      <w:r>
        <w:rPr>
          <w:rFonts w:hint="eastAsia" w:ascii="仿宋" w:hAnsi="仿宋" w:eastAsia="仿宋"/>
          <w:lang w:eastAsia="zh-CN"/>
        </w:rPr>
        <w:t>，</w:t>
      </w:r>
      <w:r>
        <w:rPr>
          <w:rFonts w:hint="eastAsia" w:ascii="仿宋" w:hAnsi="仿宋" w:eastAsia="仿宋"/>
        </w:rPr>
        <w:t>危废</w:t>
      </w:r>
      <w:r>
        <w:rPr>
          <w:rFonts w:hint="eastAsia" w:ascii="仿宋" w:hAnsi="仿宋" w:eastAsia="仿宋"/>
          <w:lang w:eastAsia="zh-CN"/>
        </w:rPr>
        <w:t>仓</w:t>
      </w:r>
      <w:r>
        <w:rPr>
          <w:rFonts w:hint="eastAsia" w:ascii="仿宋" w:hAnsi="仿宋" w:eastAsia="仿宋"/>
        </w:rPr>
        <w:t>库</w:t>
      </w:r>
      <w:r>
        <w:rPr>
          <w:rFonts w:hint="eastAsia" w:ascii="仿宋" w:hAnsi="仿宋" w:eastAsia="仿宋"/>
          <w:lang w:eastAsia="zh-CN"/>
        </w:rPr>
        <w:t>均</w:t>
      </w:r>
      <w:r>
        <w:rPr>
          <w:rFonts w:hint="eastAsia" w:ascii="仿宋" w:hAnsi="仿宋" w:eastAsia="仿宋"/>
        </w:rPr>
        <w:t>按要求设置。</w:t>
      </w:r>
    </w:p>
    <w:p>
      <w:pPr>
        <w:pStyle w:val="3"/>
        <w:rPr>
          <w:rFonts w:ascii="仿宋" w:hAnsi="仿宋" w:eastAsia="仿宋"/>
        </w:rPr>
      </w:pPr>
      <w:bookmarkStart w:id="179" w:name="_Toc19382"/>
      <w:r>
        <w:rPr>
          <w:rFonts w:hint="eastAsia" w:ascii="仿宋" w:hAnsi="仿宋" w:eastAsia="仿宋"/>
        </w:rPr>
        <w:t>2.3</w:t>
      </w:r>
      <w:r>
        <w:rPr>
          <w:rFonts w:ascii="仿宋" w:hAnsi="仿宋" w:eastAsia="仿宋"/>
        </w:rPr>
        <w:t>企业周边环境及保护目标</w:t>
      </w:r>
      <w:bookmarkEnd w:id="105"/>
      <w:bookmarkEnd w:id="106"/>
      <w:bookmarkEnd w:id="107"/>
      <w:bookmarkEnd w:id="108"/>
      <w:bookmarkEnd w:id="179"/>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省愚人纳米科技科技</w:t>
      </w:r>
      <w:r>
        <w:rPr>
          <w:rFonts w:hint="eastAsia" w:ascii="仿宋" w:hAnsi="仿宋" w:eastAsia="仿宋"/>
        </w:rPr>
        <w:t>有限公司位于江西新干</w:t>
      </w:r>
      <w:r>
        <w:rPr>
          <w:rFonts w:hint="eastAsia" w:ascii="仿宋" w:hAnsi="仿宋" w:eastAsia="仿宋"/>
          <w:lang w:eastAsia="zh-CN"/>
        </w:rPr>
        <w:t>县</w:t>
      </w:r>
      <w:r>
        <w:rPr>
          <w:rFonts w:hint="eastAsia" w:ascii="仿宋" w:hAnsi="仿宋" w:eastAsia="仿宋"/>
        </w:rPr>
        <w:t>盐化工业城，</w:t>
      </w:r>
      <w:r>
        <w:rPr>
          <w:rFonts w:ascii="仿宋" w:hAnsi="仿宋" w:eastAsia="仿宋"/>
        </w:rPr>
        <w:t>企业周边环境功能区划如下：</w:t>
      </w:r>
    </w:p>
    <w:p>
      <w:pPr>
        <w:pStyle w:val="4"/>
        <w:ind w:firstLine="560"/>
        <w:rPr>
          <w:rFonts w:ascii="仿宋" w:hAnsi="仿宋" w:eastAsia="仿宋"/>
        </w:rPr>
      </w:pPr>
      <w:r>
        <w:rPr>
          <w:rFonts w:hint="eastAsia" w:ascii="仿宋" w:hAnsi="仿宋" w:eastAsia="仿宋"/>
        </w:rPr>
        <w:t>（1）</w:t>
      </w:r>
      <w:r>
        <w:rPr>
          <w:rFonts w:ascii="仿宋" w:hAnsi="仿宋" w:eastAsia="仿宋"/>
        </w:rPr>
        <w:t>环境空气</w:t>
      </w:r>
    </w:p>
    <w:p>
      <w:pPr>
        <w:pStyle w:val="4"/>
        <w:ind w:firstLine="560"/>
        <w:rPr>
          <w:rFonts w:ascii="仿宋" w:hAnsi="仿宋" w:eastAsia="仿宋"/>
        </w:rPr>
      </w:pPr>
      <w:r>
        <w:rPr>
          <w:rFonts w:hint="eastAsia" w:ascii="仿宋" w:hAnsi="仿宋" w:eastAsia="仿宋"/>
        </w:rPr>
        <w:t>环境空气质量执行《环境空气质量标准》(GB3095-</w:t>
      </w:r>
      <w:r>
        <w:rPr>
          <w:rFonts w:hint="eastAsia" w:ascii="仿宋" w:hAnsi="仿宋" w:eastAsia="仿宋"/>
          <w:lang w:val="en-US" w:eastAsia="zh-CN"/>
        </w:rPr>
        <w:t>2012</w:t>
      </w:r>
      <w:r>
        <w:rPr>
          <w:rFonts w:hint="eastAsia" w:ascii="仿宋" w:hAnsi="仿宋" w:eastAsia="仿宋"/>
        </w:rPr>
        <w:t>)二级标准。</w:t>
      </w:r>
      <w:r>
        <w:rPr>
          <w:rFonts w:hint="eastAsia"/>
          <w:color w:val="000000"/>
          <w:sz w:val="24"/>
        </w:rPr>
        <w:t>SO</w:t>
      </w:r>
      <w:r>
        <w:rPr>
          <w:rFonts w:hint="eastAsia"/>
          <w:color w:val="000000"/>
          <w:sz w:val="24"/>
          <w:vertAlign w:val="subscript"/>
        </w:rPr>
        <w:t>2</w:t>
      </w:r>
      <w:r>
        <w:rPr>
          <w:rFonts w:hint="eastAsia"/>
          <w:color w:val="000000"/>
          <w:sz w:val="24"/>
        </w:rPr>
        <w:t>、混合气体的HCl和H</w:t>
      </w:r>
      <w:r>
        <w:rPr>
          <w:rFonts w:hint="eastAsia"/>
          <w:color w:val="000000"/>
          <w:sz w:val="24"/>
          <w:vertAlign w:val="subscript"/>
        </w:rPr>
        <w:t>2</w:t>
      </w:r>
      <w:r>
        <w:rPr>
          <w:rFonts w:hint="eastAsia"/>
          <w:color w:val="000000"/>
          <w:sz w:val="24"/>
        </w:rPr>
        <w:t>S和氨化废气中的NH</w:t>
      </w:r>
      <w:r>
        <w:rPr>
          <w:rFonts w:hint="eastAsia"/>
          <w:color w:val="000000"/>
          <w:sz w:val="24"/>
          <w:vertAlign w:val="subscript"/>
        </w:rPr>
        <w:t>3</w:t>
      </w:r>
      <w:r>
        <w:rPr>
          <w:rFonts w:hint="eastAsia"/>
          <w:color w:val="000000"/>
          <w:sz w:val="24"/>
          <w:vertAlign w:val="baseline"/>
          <w:lang w:eastAsia="zh-CN"/>
        </w:rPr>
        <w:t>，都</w:t>
      </w:r>
      <w:r>
        <w:rPr>
          <w:rFonts w:hint="eastAsia"/>
          <w:color w:val="000000"/>
          <w:sz w:val="24"/>
        </w:rPr>
        <w:t>能够达到《环境空气质量标准》(GB3095-1996)二级标准要求，对环境空气影响较小。。</w:t>
      </w:r>
    </w:p>
    <w:p>
      <w:pPr>
        <w:pStyle w:val="4"/>
        <w:ind w:firstLine="560"/>
        <w:rPr>
          <w:rFonts w:ascii="仿宋" w:hAnsi="仿宋" w:eastAsia="仿宋"/>
        </w:rPr>
      </w:pPr>
      <w:r>
        <w:rPr>
          <w:rFonts w:hint="eastAsia" w:ascii="仿宋" w:hAnsi="仿宋" w:eastAsia="仿宋"/>
        </w:rPr>
        <w:t>（2）</w:t>
      </w:r>
      <w:r>
        <w:rPr>
          <w:rFonts w:ascii="仿宋" w:hAnsi="仿宋" w:eastAsia="仿宋"/>
        </w:rPr>
        <w:t>地表水</w:t>
      </w:r>
    </w:p>
    <w:p>
      <w:pPr>
        <w:pStyle w:val="4"/>
        <w:ind w:firstLine="560"/>
        <w:rPr>
          <w:rFonts w:ascii="仿宋" w:hAnsi="仿宋" w:eastAsia="仿宋"/>
        </w:rPr>
      </w:pPr>
      <w:r>
        <w:rPr>
          <w:rFonts w:hint="eastAsia" w:ascii="仿宋" w:hAnsi="仿宋" w:eastAsia="仿宋"/>
        </w:rPr>
        <w:t>地表水（赣江）环境质量采用《地表水环境质量标准》（GB3838-2002）中Ⅲ类标准。</w:t>
      </w:r>
    </w:p>
    <w:p>
      <w:pPr>
        <w:pStyle w:val="4"/>
        <w:ind w:firstLine="560"/>
        <w:rPr>
          <w:rFonts w:ascii="仿宋" w:hAnsi="仿宋" w:eastAsia="仿宋"/>
        </w:rPr>
      </w:pPr>
      <w:r>
        <w:rPr>
          <w:rFonts w:hint="eastAsia" w:ascii="仿宋" w:hAnsi="仿宋" w:eastAsia="仿宋"/>
        </w:rPr>
        <w:t>（3）</w:t>
      </w:r>
      <w:r>
        <w:rPr>
          <w:rFonts w:ascii="仿宋" w:hAnsi="仿宋" w:eastAsia="仿宋"/>
        </w:rPr>
        <w:t>环境噪声</w:t>
      </w:r>
    </w:p>
    <w:p>
      <w:pPr>
        <w:pStyle w:val="4"/>
        <w:ind w:firstLine="560"/>
        <w:rPr>
          <w:rFonts w:ascii="仿宋" w:hAnsi="仿宋" w:eastAsia="仿宋"/>
        </w:rPr>
      </w:pPr>
      <w:r>
        <w:rPr>
          <w:rFonts w:hint="eastAsia" w:ascii="仿宋" w:hAnsi="仿宋" w:eastAsia="仿宋"/>
        </w:rPr>
        <w:t>环境噪声执行《声环境质量标准》（GB3096-2008）中3 类区标准。</w:t>
      </w:r>
      <w:r>
        <w:rPr>
          <w:rFonts w:ascii="仿宋" w:hAnsi="仿宋" w:eastAsia="仿宋"/>
        </w:rPr>
        <w:t>项目所在地周边主要环境风险保护目标见下表</w:t>
      </w:r>
      <w:r>
        <w:rPr>
          <w:rFonts w:hint="eastAsia" w:ascii="仿宋" w:hAnsi="仿宋" w:eastAsia="仿宋"/>
        </w:rPr>
        <w:t>2-17</w:t>
      </w:r>
      <w:r>
        <w:rPr>
          <w:rFonts w:ascii="仿宋" w:hAnsi="仿宋" w:eastAsia="仿宋"/>
        </w:rPr>
        <w:t>。</w:t>
      </w:r>
    </w:p>
    <w:p>
      <w:pPr>
        <w:pStyle w:val="4"/>
        <w:numPr>
          <w:ilvl w:val="0"/>
          <w:numId w:val="4"/>
        </w:numPr>
        <w:ind w:firstLine="560"/>
        <w:rPr>
          <w:rFonts w:ascii="仿宋" w:hAnsi="仿宋" w:eastAsia="仿宋"/>
        </w:rPr>
      </w:pPr>
      <w:r>
        <w:rPr>
          <w:rFonts w:hint="eastAsia" w:ascii="仿宋" w:hAnsi="仿宋" w:eastAsia="仿宋"/>
        </w:rPr>
        <w:t>地下水</w:t>
      </w:r>
    </w:p>
    <w:p>
      <w:pPr>
        <w:pStyle w:val="4"/>
        <w:ind w:left="560" w:leftChars="200" w:firstLine="0" w:firstLineChars="0"/>
        <w:rPr>
          <w:rFonts w:ascii="仿宋" w:hAnsi="仿宋" w:eastAsia="仿宋"/>
        </w:rPr>
      </w:pPr>
      <w:r>
        <w:rPr>
          <w:rFonts w:hint="eastAsia" w:ascii="仿宋" w:hAnsi="仿宋" w:eastAsia="仿宋"/>
        </w:rPr>
        <w:t>地下水环境质量执行《地下水质量标准》(GB/T14848-93)Ⅲ类标准。</w:t>
      </w:r>
    </w:p>
    <w:p>
      <w:pPr>
        <w:pStyle w:val="4"/>
        <w:numPr>
          <w:ilvl w:val="0"/>
          <w:numId w:val="4"/>
        </w:numPr>
        <w:ind w:firstLine="560"/>
        <w:rPr>
          <w:rFonts w:ascii="仿宋" w:hAnsi="仿宋" w:eastAsia="仿宋"/>
        </w:rPr>
      </w:pPr>
      <w:r>
        <w:rPr>
          <w:rFonts w:hint="eastAsia" w:ascii="仿宋" w:hAnsi="仿宋" w:eastAsia="仿宋"/>
        </w:rPr>
        <w:t>土壤</w:t>
      </w:r>
    </w:p>
    <w:p>
      <w:pPr>
        <w:pStyle w:val="4"/>
        <w:ind w:left="560" w:leftChars="200" w:firstLine="0" w:firstLineChars="0"/>
        <w:rPr>
          <w:rFonts w:ascii="仿宋" w:hAnsi="仿宋" w:eastAsia="仿宋"/>
        </w:rPr>
      </w:pPr>
      <w:r>
        <w:rPr>
          <w:rFonts w:hint="eastAsia" w:ascii="仿宋" w:hAnsi="仿宋" w:eastAsia="仿宋"/>
        </w:rPr>
        <w:t>土壤环境质量执行《土壤环境质量标准》(GB15618-1995)中二级标准。</w:t>
      </w:r>
    </w:p>
    <w:p>
      <w:pPr>
        <w:pStyle w:val="4"/>
        <w:ind w:firstLine="0" w:firstLineChars="0"/>
        <w:jc w:val="center"/>
        <w:rPr>
          <w:rFonts w:hint="eastAsia" w:ascii="仿宋" w:hAnsi="仿宋" w:eastAsia="仿宋"/>
          <w:b/>
          <w:sz w:val="24"/>
          <w:highlight w:val="none"/>
          <w:lang w:eastAsia="zh-CN"/>
        </w:rPr>
      </w:pPr>
      <w:r>
        <w:rPr>
          <w:rFonts w:ascii="仿宋" w:hAnsi="仿宋" w:eastAsia="仿宋"/>
          <w:b/>
          <w:sz w:val="24"/>
          <w:highlight w:val="none"/>
        </w:rPr>
        <w:t>表2</w:t>
      </w:r>
      <w:r>
        <w:rPr>
          <w:rFonts w:hint="eastAsia" w:ascii="仿宋" w:hAnsi="仿宋" w:eastAsia="仿宋"/>
          <w:b/>
          <w:sz w:val="24"/>
          <w:highlight w:val="none"/>
        </w:rPr>
        <w:t>.2</w:t>
      </w:r>
      <w:r>
        <w:rPr>
          <w:rFonts w:ascii="仿宋" w:hAnsi="仿宋" w:eastAsia="仿宋"/>
          <w:b/>
          <w:sz w:val="24"/>
          <w:highlight w:val="none"/>
        </w:rPr>
        <w:t>-</w:t>
      </w:r>
      <w:r>
        <w:rPr>
          <w:rFonts w:hint="eastAsia" w:ascii="仿宋" w:hAnsi="仿宋" w:eastAsia="仿宋"/>
          <w:b/>
          <w:sz w:val="24"/>
          <w:highlight w:val="none"/>
        </w:rPr>
        <w:t xml:space="preserve">11 </w:t>
      </w:r>
      <w:r>
        <w:rPr>
          <w:rFonts w:ascii="仿宋" w:hAnsi="仿宋" w:eastAsia="仿宋"/>
          <w:b/>
          <w:sz w:val="24"/>
          <w:highlight w:val="none"/>
        </w:rPr>
        <w:t xml:space="preserve"> 环境</w:t>
      </w:r>
      <w:r>
        <w:rPr>
          <w:rFonts w:hint="eastAsia" w:ascii="仿宋" w:hAnsi="仿宋" w:eastAsia="仿宋"/>
          <w:b/>
          <w:sz w:val="24"/>
          <w:highlight w:val="none"/>
          <w:lang w:eastAsia="zh-CN"/>
        </w:rPr>
        <w:t>敏感点分布图</w:t>
      </w: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r>
        <w:rPr>
          <w:sz w:val="24"/>
        </w:rPr>
        <w:pict>
          <v:shape id="_x0000_s1392" o:spid="_x0000_s1392" o:spt="202" type="#_x0000_t202" style="position:absolute;left:0pt;margin-left:-12.5pt;margin-top:4.65pt;height:441.25pt;width:471.75pt;z-index:251659264;mso-width-relative:page;mso-height-relative:page;" fillcolor="#FFFFFF" filled="t" stroked="t" coordsize="21600,21600">
            <v:path/>
            <v:fill on="t" color2="#FFFFFF" focussize="0,0"/>
            <v:stroke color="#FFFFFF"/>
            <v:imagedata o:title=""/>
            <o:lock v:ext="edit" aspectratio="f"/>
            <v:textbox>
              <w:txbxContent>
                <w:p>
                  <w:pPr>
                    <w:ind w:left="0" w:leftChars="0" w:firstLine="0" w:firstLineChars="0"/>
                  </w:pPr>
                  <w:r>
                    <w:drawing>
                      <wp:inline distT="0" distB="0" distL="114300" distR="114300">
                        <wp:extent cx="5795010" cy="5367020"/>
                        <wp:effectExtent l="0" t="0" r="15240" b="508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16"/>
                                <a:stretch>
                                  <a:fillRect/>
                                </a:stretch>
                              </pic:blipFill>
                              <pic:spPr>
                                <a:xfrm>
                                  <a:off x="0" y="0"/>
                                  <a:ext cx="5795010" cy="5367020"/>
                                </a:xfrm>
                                <a:prstGeom prst="rect">
                                  <a:avLst/>
                                </a:prstGeom>
                                <a:noFill/>
                                <a:ln w="9525">
                                  <a:noFill/>
                                </a:ln>
                              </pic:spPr>
                            </pic:pic>
                          </a:graphicData>
                        </a:graphic>
                      </wp:inline>
                    </w:drawing>
                  </w:r>
                </w:p>
              </w:txbxContent>
            </v:textbox>
          </v:shape>
        </w:pict>
      </w: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center"/>
        <w:rPr>
          <w:rFonts w:hint="eastAsia" w:ascii="仿宋" w:hAnsi="仿宋" w:eastAsia="仿宋"/>
          <w:b/>
          <w:sz w:val="24"/>
          <w:highlight w:val="none"/>
          <w:lang w:eastAsia="zh-CN"/>
        </w:rPr>
      </w:pPr>
    </w:p>
    <w:p>
      <w:pPr>
        <w:pStyle w:val="4"/>
        <w:ind w:firstLine="0" w:firstLineChars="0"/>
        <w:jc w:val="both"/>
        <w:rPr>
          <w:rFonts w:ascii="仿宋" w:hAnsi="仿宋" w:eastAsia="仿宋"/>
          <w:b/>
          <w:sz w:val="24"/>
          <w:highlight w:val="yellow"/>
        </w:rPr>
      </w:pPr>
    </w:p>
    <w:p>
      <w:pPr>
        <w:pStyle w:val="4"/>
        <w:ind w:firstLine="0" w:firstLineChars="0"/>
        <w:jc w:val="center"/>
        <w:rPr>
          <w:rFonts w:ascii="仿宋" w:hAnsi="仿宋" w:eastAsia="仿宋"/>
          <w:b/>
          <w:sz w:val="24"/>
        </w:rPr>
      </w:pPr>
      <w:r>
        <w:rPr>
          <w:rFonts w:ascii="仿宋" w:hAnsi="仿宋" w:eastAsia="仿宋"/>
          <w:b/>
          <w:sz w:val="24"/>
        </w:rPr>
        <w:t>表2</w:t>
      </w:r>
      <w:r>
        <w:rPr>
          <w:rFonts w:hint="eastAsia" w:ascii="仿宋" w:hAnsi="仿宋" w:eastAsia="仿宋"/>
          <w:b/>
          <w:sz w:val="24"/>
        </w:rPr>
        <w:t>.2</w:t>
      </w:r>
      <w:r>
        <w:rPr>
          <w:rFonts w:ascii="仿宋" w:hAnsi="仿宋" w:eastAsia="仿宋"/>
          <w:b/>
          <w:sz w:val="24"/>
        </w:rPr>
        <w:t>-</w:t>
      </w:r>
      <w:r>
        <w:rPr>
          <w:rFonts w:hint="eastAsia" w:ascii="仿宋" w:hAnsi="仿宋" w:eastAsia="仿宋"/>
          <w:b/>
          <w:sz w:val="24"/>
        </w:rPr>
        <w:t>12  本项目周边主要企业一览表</w:t>
      </w:r>
    </w:p>
    <w:tbl>
      <w:tblPr>
        <w:tblStyle w:val="39"/>
        <w:tblW w:w="9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gridCol w:w="1731"/>
        <w:gridCol w:w="3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90" w:type="dxa"/>
            <w:shd w:val="clear" w:color="auto" w:fill="auto"/>
            <w:vAlign w:val="center"/>
          </w:tcPr>
          <w:p>
            <w:pPr>
              <w:tabs>
                <w:tab w:val="left" w:pos="3252"/>
              </w:tabs>
              <w:ind w:left="0" w:leftChars="0" w:right="0" w:rightChars="0" w:firstLine="0" w:firstLineChars="0"/>
              <w:jc w:val="center"/>
              <w:rPr>
                <w:rFonts w:ascii="仿宋" w:hAnsi="仿宋" w:eastAsia="仿宋"/>
                <w:spacing w:val="6"/>
                <w:sz w:val="21"/>
                <w:szCs w:val="21"/>
              </w:rPr>
            </w:pPr>
            <w:r>
              <w:rPr>
                <w:rFonts w:hint="eastAsia" w:ascii="仿宋" w:hAnsi="仿宋" w:eastAsia="仿宋"/>
                <w:spacing w:val="6"/>
                <w:sz w:val="21"/>
                <w:szCs w:val="21"/>
              </w:rPr>
              <w:t>企业名称</w:t>
            </w:r>
          </w:p>
        </w:tc>
        <w:tc>
          <w:tcPr>
            <w:tcW w:w="1731" w:type="dxa"/>
            <w:shd w:val="clear" w:color="auto" w:fill="auto"/>
            <w:vAlign w:val="center"/>
          </w:tcPr>
          <w:p>
            <w:pPr>
              <w:tabs>
                <w:tab w:val="left" w:pos="3252"/>
              </w:tabs>
              <w:ind w:left="0" w:leftChars="0" w:right="0" w:rightChars="0" w:firstLine="0" w:firstLineChars="0"/>
              <w:jc w:val="center"/>
              <w:rPr>
                <w:rFonts w:ascii="仿宋" w:hAnsi="仿宋" w:eastAsia="仿宋"/>
                <w:spacing w:val="6"/>
                <w:sz w:val="21"/>
                <w:szCs w:val="21"/>
              </w:rPr>
            </w:pPr>
            <w:r>
              <w:rPr>
                <w:rFonts w:hint="eastAsia" w:ascii="仿宋" w:hAnsi="仿宋" w:eastAsia="仿宋"/>
                <w:spacing w:val="6"/>
                <w:sz w:val="21"/>
                <w:szCs w:val="21"/>
              </w:rPr>
              <w:t>方位</w:t>
            </w:r>
          </w:p>
        </w:tc>
        <w:tc>
          <w:tcPr>
            <w:tcW w:w="3609" w:type="dxa"/>
            <w:shd w:val="clear" w:color="auto" w:fill="auto"/>
            <w:vAlign w:val="center"/>
          </w:tcPr>
          <w:p>
            <w:pPr>
              <w:tabs>
                <w:tab w:val="left" w:pos="3252"/>
              </w:tabs>
              <w:ind w:left="0" w:leftChars="0" w:right="0" w:rightChars="0" w:firstLine="0" w:firstLineChars="0"/>
              <w:jc w:val="center"/>
              <w:rPr>
                <w:rFonts w:ascii="仿宋" w:hAnsi="仿宋" w:eastAsia="仿宋"/>
                <w:spacing w:val="6"/>
                <w:sz w:val="21"/>
                <w:szCs w:val="21"/>
              </w:rPr>
            </w:pPr>
            <w:r>
              <w:rPr>
                <w:rFonts w:hint="eastAsia" w:ascii="仿宋" w:hAnsi="仿宋" w:eastAsia="仿宋"/>
                <w:spacing w:val="6"/>
                <w:sz w:val="21"/>
                <w:szCs w:val="21"/>
              </w:rPr>
              <w:t>最近厂界距离（m）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90"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江西三元药业</w:t>
            </w:r>
          </w:p>
        </w:tc>
        <w:tc>
          <w:tcPr>
            <w:tcW w:w="1731"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东</w:t>
            </w:r>
          </w:p>
        </w:tc>
        <w:tc>
          <w:tcPr>
            <w:tcW w:w="3609"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val="en-US" w:eastAsia="zh-CN"/>
              </w:rPr>
            </w:pPr>
            <w:r>
              <w:rPr>
                <w:rFonts w:hint="eastAsia" w:ascii="仿宋" w:hAnsi="仿宋" w:eastAsia="仿宋"/>
                <w:spacing w:val="6"/>
                <w:sz w:val="21"/>
                <w:szCs w:val="21"/>
              </w:rPr>
              <w:t>1</w:t>
            </w:r>
            <w:r>
              <w:rPr>
                <w:rFonts w:hint="eastAsia" w:ascii="仿宋" w:hAnsi="仿宋" w:eastAsia="仿宋"/>
                <w:spacing w:val="6"/>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90"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鑫凎三磷化工</w:t>
            </w:r>
          </w:p>
        </w:tc>
        <w:tc>
          <w:tcPr>
            <w:tcW w:w="1731" w:type="dxa"/>
            <w:shd w:val="clear" w:color="auto" w:fill="auto"/>
            <w:vAlign w:val="center"/>
          </w:tcPr>
          <w:p>
            <w:pPr>
              <w:tabs>
                <w:tab w:val="left" w:pos="3252"/>
              </w:tabs>
              <w:ind w:left="0" w:leftChars="0" w:right="0" w:rightChars="0" w:firstLine="0" w:firstLineChars="0"/>
              <w:jc w:val="center"/>
              <w:rPr>
                <w:rFonts w:ascii="仿宋" w:hAnsi="仿宋" w:eastAsia="仿宋"/>
                <w:spacing w:val="6"/>
                <w:sz w:val="21"/>
                <w:szCs w:val="21"/>
              </w:rPr>
            </w:pPr>
            <w:r>
              <w:rPr>
                <w:rFonts w:hint="eastAsia" w:ascii="仿宋" w:hAnsi="仿宋" w:eastAsia="仿宋"/>
                <w:spacing w:val="6"/>
                <w:sz w:val="21"/>
                <w:szCs w:val="21"/>
              </w:rPr>
              <w:t>西</w:t>
            </w:r>
          </w:p>
        </w:tc>
        <w:tc>
          <w:tcPr>
            <w:tcW w:w="3609"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val="en-US" w:eastAsia="zh-CN"/>
              </w:rPr>
            </w:pPr>
            <w:r>
              <w:rPr>
                <w:rFonts w:hint="eastAsia" w:ascii="仿宋" w:hAnsi="仿宋" w:eastAsia="仿宋"/>
                <w:spacing w:val="6"/>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090"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开发区征用土地</w:t>
            </w:r>
          </w:p>
        </w:tc>
        <w:tc>
          <w:tcPr>
            <w:tcW w:w="1731"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南</w:t>
            </w:r>
          </w:p>
        </w:tc>
        <w:tc>
          <w:tcPr>
            <w:tcW w:w="3609"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90"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园区道路</w:t>
            </w:r>
          </w:p>
        </w:tc>
        <w:tc>
          <w:tcPr>
            <w:tcW w:w="1731"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北</w:t>
            </w:r>
          </w:p>
        </w:tc>
        <w:tc>
          <w:tcPr>
            <w:tcW w:w="3609"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val="en-US" w:eastAsia="zh-CN"/>
              </w:rPr>
            </w:pPr>
            <w:r>
              <w:rPr>
                <w:rFonts w:hint="eastAsia" w:ascii="仿宋" w:hAnsi="仿宋" w:eastAsia="仿宋"/>
                <w:spacing w:val="6"/>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90"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何家堎村</w:t>
            </w:r>
          </w:p>
        </w:tc>
        <w:tc>
          <w:tcPr>
            <w:tcW w:w="1731"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eastAsia="zh-CN"/>
              </w:rPr>
            </w:pPr>
            <w:r>
              <w:rPr>
                <w:rFonts w:hint="eastAsia" w:ascii="仿宋" w:hAnsi="仿宋" w:eastAsia="仿宋"/>
                <w:spacing w:val="6"/>
                <w:sz w:val="21"/>
                <w:szCs w:val="21"/>
                <w:lang w:eastAsia="zh-CN"/>
              </w:rPr>
              <w:t>东南</w:t>
            </w:r>
          </w:p>
        </w:tc>
        <w:tc>
          <w:tcPr>
            <w:tcW w:w="3609" w:type="dxa"/>
            <w:shd w:val="clear" w:color="auto" w:fill="auto"/>
            <w:vAlign w:val="center"/>
          </w:tcPr>
          <w:p>
            <w:pPr>
              <w:tabs>
                <w:tab w:val="left" w:pos="3252"/>
              </w:tabs>
              <w:ind w:left="0" w:leftChars="0" w:right="0" w:rightChars="0" w:firstLine="0" w:firstLineChars="0"/>
              <w:jc w:val="center"/>
              <w:rPr>
                <w:rFonts w:hint="eastAsia" w:ascii="仿宋" w:hAnsi="仿宋" w:eastAsia="仿宋"/>
                <w:spacing w:val="6"/>
                <w:sz w:val="21"/>
                <w:szCs w:val="21"/>
                <w:lang w:val="en-US" w:eastAsia="zh-CN"/>
              </w:rPr>
            </w:pPr>
            <w:r>
              <w:rPr>
                <w:rFonts w:hint="eastAsia" w:ascii="仿宋" w:hAnsi="仿宋" w:eastAsia="仿宋"/>
                <w:spacing w:val="6"/>
                <w:sz w:val="21"/>
                <w:szCs w:val="21"/>
                <w:lang w:val="en-US" w:eastAsia="zh-CN"/>
              </w:rPr>
              <w:t>350</w:t>
            </w:r>
          </w:p>
        </w:tc>
      </w:tr>
    </w:tbl>
    <w:p>
      <w:pPr>
        <w:ind w:left="280" w:right="280" w:firstLine="562"/>
        <w:rPr>
          <w:rFonts w:ascii="仿宋" w:hAnsi="仿宋" w:eastAsia="仿宋"/>
          <w:b/>
          <w:szCs w:val="21"/>
        </w:rPr>
        <w:sectPr>
          <w:pgSz w:w="11906" w:h="16838"/>
          <w:pgMar w:top="1440" w:right="1274" w:bottom="1440" w:left="1418" w:header="851" w:footer="992" w:gutter="0"/>
          <w:cols w:space="425" w:num="1"/>
          <w:docGrid w:type="lines" w:linePitch="381" w:charSpace="0"/>
        </w:sectPr>
      </w:pPr>
    </w:p>
    <w:p>
      <w:pPr>
        <w:pStyle w:val="2"/>
        <w:rPr>
          <w:rFonts w:ascii="仿宋" w:hAnsi="仿宋" w:eastAsia="仿宋"/>
        </w:rPr>
      </w:pPr>
      <w:bookmarkStart w:id="180" w:name="_Toc328836755"/>
      <w:bookmarkStart w:id="181" w:name="_Toc19331"/>
      <w:bookmarkStart w:id="182" w:name="_Toc328836529"/>
      <w:bookmarkStart w:id="183" w:name="_Toc328836396"/>
      <w:bookmarkStart w:id="184" w:name="_Toc328836329"/>
      <w:r>
        <w:rPr>
          <w:rFonts w:ascii="仿宋" w:hAnsi="仿宋" w:eastAsia="仿宋"/>
        </w:rPr>
        <w:t>3环境风险源与环境风险评价</w:t>
      </w:r>
      <w:bookmarkEnd w:id="180"/>
      <w:bookmarkEnd w:id="181"/>
      <w:bookmarkEnd w:id="182"/>
      <w:bookmarkEnd w:id="183"/>
      <w:bookmarkEnd w:id="184"/>
      <w:bookmarkStart w:id="185" w:name="_Toc328836330"/>
      <w:bookmarkStart w:id="186" w:name="_Toc328836530"/>
      <w:bookmarkStart w:id="187" w:name="_Toc328836397"/>
      <w:bookmarkStart w:id="188" w:name="_Toc328836756"/>
    </w:p>
    <w:p>
      <w:pPr>
        <w:pStyle w:val="3"/>
        <w:rPr>
          <w:rFonts w:ascii="仿宋" w:hAnsi="仿宋" w:eastAsia="仿宋"/>
        </w:rPr>
      </w:pPr>
      <w:bookmarkStart w:id="189" w:name="_Toc8432"/>
      <w:r>
        <w:rPr>
          <w:rFonts w:ascii="仿宋" w:hAnsi="仿宋" w:eastAsia="仿宋"/>
        </w:rPr>
        <w:t>3.1风险源识别</w:t>
      </w:r>
      <w:bookmarkEnd w:id="185"/>
      <w:bookmarkEnd w:id="186"/>
      <w:bookmarkEnd w:id="187"/>
      <w:bookmarkEnd w:id="188"/>
      <w:bookmarkEnd w:id="189"/>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w:t>
      </w:r>
      <w:r>
        <w:rPr>
          <w:rFonts w:ascii="仿宋" w:hAnsi="仿宋" w:eastAsia="仿宋"/>
        </w:rPr>
        <w:t>环境风险源见下表</w:t>
      </w:r>
      <w:r>
        <w:rPr>
          <w:rFonts w:hint="eastAsia" w:ascii="仿宋" w:hAnsi="仿宋" w:eastAsia="仿宋"/>
        </w:rPr>
        <w:t>3.1-1</w:t>
      </w:r>
      <w:r>
        <w:rPr>
          <w:rFonts w:ascii="仿宋" w:hAnsi="仿宋" w:eastAsia="仿宋"/>
        </w:rPr>
        <w:t>。</w:t>
      </w:r>
    </w:p>
    <w:p>
      <w:pPr>
        <w:spacing w:line="500" w:lineRule="exact"/>
        <w:ind w:left="0" w:leftChars="0" w:right="0" w:rightChars="0" w:firstLine="0" w:firstLineChars="0"/>
        <w:jc w:val="center"/>
        <w:rPr>
          <w:rFonts w:ascii="仿宋" w:hAnsi="仿宋" w:eastAsia="仿宋"/>
          <w:b/>
          <w:sz w:val="24"/>
        </w:rPr>
      </w:pPr>
      <w:r>
        <w:rPr>
          <w:rFonts w:ascii="仿宋" w:hAnsi="仿宋" w:eastAsia="仿宋"/>
          <w:b/>
          <w:sz w:val="24"/>
        </w:rPr>
        <w:t>表3</w:t>
      </w:r>
      <w:r>
        <w:rPr>
          <w:rFonts w:hint="eastAsia" w:ascii="仿宋" w:hAnsi="仿宋" w:eastAsia="仿宋"/>
          <w:b/>
          <w:sz w:val="24"/>
        </w:rPr>
        <w:t>.1</w:t>
      </w:r>
      <w:r>
        <w:rPr>
          <w:rFonts w:ascii="仿宋" w:hAnsi="仿宋" w:eastAsia="仿宋"/>
          <w:b/>
          <w:sz w:val="24"/>
        </w:rPr>
        <w:t xml:space="preserve">-1  </w:t>
      </w:r>
      <w:r>
        <w:rPr>
          <w:rFonts w:hint="eastAsia" w:ascii="仿宋" w:hAnsi="仿宋" w:eastAsia="仿宋"/>
          <w:b/>
          <w:sz w:val="24"/>
        </w:rPr>
        <w:t>江西</w:t>
      </w:r>
      <w:r>
        <w:rPr>
          <w:rFonts w:hint="eastAsia" w:ascii="仿宋" w:hAnsi="仿宋" w:eastAsia="仿宋"/>
          <w:b/>
          <w:sz w:val="24"/>
          <w:lang w:eastAsia="zh-CN"/>
        </w:rPr>
        <w:t>省愚人纳米科技</w:t>
      </w:r>
      <w:r>
        <w:rPr>
          <w:rFonts w:hint="eastAsia" w:ascii="仿宋" w:hAnsi="仿宋" w:eastAsia="仿宋"/>
          <w:b/>
          <w:sz w:val="24"/>
        </w:rPr>
        <w:t>有限公司</w:t>
      </w:r>
      <w:r>
        <w:rPr>
          <w:rFonts w:ascii="仿宋" w:hAnsi="仿宋" w:eastAsia="仿宋"/>
          <w:b/>
          <w:sz w:val="24"/>
        </w:rPr>
        <w:t>环境风险源识别表</w:t>
      </w:r>
    </w:p>
    <w:tbl>
      <w:tblPr>
        <w:tblStyle w:val="39"/>
        <w:tblW w:w="953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2"/>
        <w:gridCol w:w="84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1042" w:type="dxa"/>
            <w:tcBorders>
              <w:tl2br w:val="nil"/>
            </w:tcBorders>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环境风险源</w:t>
            </w:r>
          </w:p>
        </w:tc>
        <w:tc>
          <w:tcPr>
            <w:tcW w:w="8495" w:type="dxa"/>
            <w:shd w:val="clear" w:color="auto" w:fill="auto"/>
            <w:vAlign w:val="center"/>
          </w:tcPr>
          <w:p>
            <w:pPr>
              <w:ind w:left="0" w:leftChars="0" w:right="0" w:rightChars="0" w:firstLine="420"/>
              <w:jc w:val="center"/>
              <w:rPr>
                <w:rFonts w:eastAsia="仿宋"/>
                <w:iCs/>
                <w:sz w:val="21"/>
                <w:szCs w:val="21"/>
              </w:rPr>
            </w:pPr>
            <w:r>
              <w:rPr>
                <w:rFonts w:eastAsia="仿宋"/>
                <w:iCs/>
                <w:sz w:val="21"/>
                <w:szCs w:val="21"/>
              </w:rPr>
              <w:t>识别过程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1042" w:type="dxa"/>
            <w:tcBorders>
              <w:tl2br w:val="nil"/>
            </w:tcBorders>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生产工艺过程</w:t>
            </w:r>
          </w:p>
        </w:tc>
        <w:tc>
          <w:tcPr>
            <w:tcW w:w="8495" w:type="dxa"/>
            <w:shd w:val="clear" w:color="auto" w:fill="auto"/>
            <w:vAlign w:val="center"/>
          </w:tcPr>
          <w:p>
            <w:pPr>
              <w:snapToGrid w:val="0"/>
              <w:ind w:left="0" w:leftChars="0" w:right="0" w:rightChars="0" w:firstLine="0" w:firstLineChars="0"/>
              <w:rPr>
                <w:rFonts w:eastAsia="仿宋"/>
                <w:iCs/>
                <w:sz w:val="21"/>
                <w:szCs w:val="21"/>
              </w:rPr>
            </w:pPr>
            <w:r>
              <w:rPr>
                <w:rFonts w:eastAsia="仿宋"/>
                <w:iCs/>
                <w:sz w:val="21"/>
                <w:szCs w:val="21"/>
              </w:rPr>
              <w:t>（1）本项目生产原料中存在盐酸、硫酸、双氧水、等，以上物料存在腐蚀性，若员工操作不慎，物料泄漏可导致人体化学灼伤事故，同时会污染水及土壤；</w:t>
            </w:r>
          </w:p>
          <w:p>
            <w:pPr>
              <w:snapToGrid w:val="0"/>
              <w:ind w:left="0" w:leftChars="0" w:right="0" w:rightChars="0" w:firstLine="0" w:firstLineChars="0"/>
              <w:rPr>
                <w:rFonts w:eastAsia="仿宋"/>
                <w:iCs/>
                <w:sz w:val="21"/>
                <w:szCs w:val="21"/>
              </w:rPr>
            </w:pPr>
            <w:r>
              <w:rPr>
                <w:rFonts w:eastAsia="仿宋"/>
                <w:iCs/>
                <w:sz w:val="21"/>
                <w:szCs w:val="21"/>
              </w:rPr>
              <w:t>（2）若公司处理设备故障则会造成收集的危险废物进入污水管网，造成污水排放超标，发生地表水环境污染事故；</w:t>
            </w:r>
          </w:p>
          <w:p>
            <w:pPr>
              <w:snapToGrid w:val="0"/>
              <w:ind w:left="0" w:leftChars="0" w:right="0" w:rightChars="0" w:firstLine="0" w:firstLineChars="0"/>
              <w:rPr>
                <w:rFonts w:eastAsia="仿宋"/>
                <w:iCs/>
                <w:color w:val="FF0000"/>
                <w:sz w:val="21"/>
                <w:szCs w:val="21"/>
              </w:rPr>
            </w:pPr>
            <w:r>
              <w:rPr>
                <w:rFonts w:eastAsia="仿宋"/>
                <w:iCs/>
                <w:sz w:val="21"/>
                <w:szCs w:val="21"/>
              </w:rPr>
              <w:t>（3）若废气有组织收集及处理设备故障，则会造成废气超标排放，发生大气环境污染事故。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749" w:hRule="atLeast"/>
          <w:jc w:val="center"/>
        </w:trPr>
        <w:tc>
          <w:tcPr>
            <w:tcW w:w="1042"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设备</w:t>
            </w:r>
          </w:p>
          <w:p>
            <w:pPr>
              <w:ind w:left="0" w:leftChars="0" w:right="0" w:rightChars="0" w:firstLine="0" w:firstLineChars="0"/>
              <w:jc w:val="center"/>
              <w:rPr>
                <w:rFonts w:ascii="仿宋" w:hAnsi="仿宋" w:eastAsia="仿宋"/>
                <w:sz w:val="21"/>
                <w:szCs w:val="21"/>
              </w:rPr>
            </w:pPr>
            <w:r>
              <w:rPr>
                <w:rFonts w:ascii="仿宋" w:hAnsi="仿宋" w:eastAsia="仿宋"/>
                <w:sz w:val="21"/>
                <w:szCs w:val="21"/>
              </w:rPr>
              <w:t>装置</w:t>
            </w:r>
          </w:p>
        </w:tc>
        <w:tc>
          <w:tcPr>
            <w:tcW w:w="8495" w:type="dxa"/>
            <w:shd w:val="clear" w:color="auto" w:fill="auto"/>
            <w:vAlign w:val="center"/>
          </w:tcPr>
          <w:p>
            <w:pPr>
              <w:snapToGrid w:val="0"/>
              <w:ind w:left="0" w:leftChars="0" w:right="0" w:rightChars="0" w:firstLine="0" w:firstLineChars="0"/>
              <w:rPr>
                <w:rFonts w:eastAsia="仿宋"/>
                <w:iCs/>
                <w:sz w:val="21"/>
                <w:szCs w:val="21"/>
              </w:rPr>
            </w:pPr>
            <w:r>
              <w:rPr>
                <w:rFonts w:eastAsia="仿宋"/>
                <w:iCs/>
                <w:sz w:val="21"/>
                <w:szCs w:val="21"/>
              </w:rPr>
              <w:t>（1）材质不当：在设备的选用上，如果设计选用材质方面存在问题，会因腐蚀作用严重影响设备使用寿命，从而引发事故。</w:t>
            </w:r>
          </w:p>
          <w:p>
            <w:pPr>
              <w:snapToGrid w:val="0"/>
              <w:ind w:left="0" w:leftChars="0" w:right="0" w:rightChars="0" w:firstLine="0" w:firstLineChars="0"/>
              <w:rPr>
                <w:rFonts w:eastAsia="仿宋"/>
                <w:iCs/>
                <w:sz w:val="21"/>
                <w:szCs w:val="21"/>
              </w:rPr>
            </w:pPr>
            <w:r>
              <w:rPr>
                <w:rFonts w:eastAsia="仿宋"/>
                <w:iCs/>
                <w:sz w:val="21"/>
                <w:szCs w:val="21"/>
              </w:rPr>
              <w:t>（2）焊接缺陷：当设备焊接存在脱焊、虚焊情况下运行时，会引发物料泄露等事故的发生。</w:t>
            </w:r>
          </w:p>
          <w:p>
            <w:pPr>
              <w:snapToGrid w:val="0"/>
              <w:ind w:left="0" w:leftChars="0" w:right="0" w:rightChars="0" w:firstLine="0" w:firstLineChars="0"/>
              <w:rPr>
                <w:rFonts w:eastAsia="仿宋"/>
                <w:iCs/>
                <w:sz w:val="21"/>
                <w:szCs w:val="21"/>
              </w:rPr>
            </w:pPr>
            <w:r>
              <w:rPr>
                <w:rFonts w:eastAsia="仿宋"/>
                <w:iCs/>
                <w:sz w:val="21"/>
                <w:szCs w:val="21"/>
              </w:rPr>
              <w:t>（3）制造问题：如果设备制造厂家或企业自己制造设备时因制造技术、工艺不过关，生产的设备存在质量隐患，设备质量不合格，会引发事故。</w:t>
            </w:r>
          </w:p>
          <w:p>
            <w:pPr>
              <w:snapToGrid w:val="0"/>
              <w:ind w:left="0" w:leftChars="0" w:right="0" w:rightChars="0" w:firstLine="0" w:firstLineChars="0"/>
              <w:rPr>
                <w:rFonts w:eastAsia="仿宋"/>
                <w:iCs/>
                <w:sz w:val="21"/>
                <w:szCs w:val="21"/>
              </w:rPr>
            </w:pPr>
            <w:r>
              <w:rPr>
                <w:rFonts w:eastAsia="仿宋"/>
                <w:iCs/>
                <w:sz w:val="21"/>
                <w:szCs w:val="21"/>
              </w:rPr>
              <w:t>（4）安全附件不全：如果设备的安全附件如防护罩、防护栏不全，会对设备的安全使用构成隐患。</w:t>
            </w:r>
          </w:p>
          <w:p>
            <w:pPr>
              <w:snapToGrid w:val="0"/>
              <w:ind w:left="0" w:leftChars="0" w:right="0" w:rightChars="0" w:firstLine="0" w:firstLineChars="0"/>
              <w:rPr>
                <w:rFonts w:eastAsia="仿宋"/>
                <w:iCs/>
                <w:sz w:val="21"/>
                <w:szCs w:val="21"/>
              </w:rPr>
            </w:pPr>
            <w:r>
              <w:rPr>
                <w:rFonts w:eastAsia="仿宋"/>
                <w:iCs/>
                <w:sz w:val="21"/>
                <w:szCs w:val="21"/>
              </w:rPr>
              <w:t>（5）安装不规范：设备因安装不规范而使该设备存在隐患。</w:t>
            </w:r>
          </w:p>
          <w:p>
            <w:pPr>
              <w:snapToGrid w:val="0"/>
              <w:ind w:left="0" w:leftChars="0" w:right="0" w:rightChars="0" w:firstLine="0" w:firstLineChars="0"/>
              <w:rPr>
                <w:rFonts w:eastAsia="仿宋"/>
                <w:iCs/>
                <w:sz w:val="21"/>
                <w:szCs w:val="21"/>
              </w:rPr>
            </w:pPr>
            <w:r>
              <w:rPr>
                <w:rFonts w:eastAsia="仿宋"/>
                <w:iCs/>
                <w:sz w:val="21"/>
                <w:szCs w:val="21"/>
              </w:rPr>
              <w:t>（6）超期使用：设备在使用期已到后如继续使用，将对生产安全构成隐患。</w:t>
            </w:r>
          </w:p>
          <w:p>
            <w:pPr>
              <w:snapToGrid w:val="0"/>
              <w:ind w:left="0" w:leftChars="0" w:right="0" w:rightChars="0" w:firstLine="0" w:firstLineChars="0"/>
              <w:rPr>
                <w:rFonts w:eastAsia="仿宋"/>
                <w:iCs/>
                <w:sz w:val="21"/>
                <w:szCs w:val="21"/>
              </w:rPr>
            </w:pPr>
            <w:r>
              <w:rPr>
                <w:rFonts w:eastAsia="仿宋"/>
                <w:iCs/>
                <w:sz w:val="21"/>
                <w:szCs w:val="21"/>
              </w:rPr>
              <w:t>（7）维修保养不当：设备在使用过程中，因维护、保养不当而导致该设备存在隐患。</w:t>
            </w:r>
          </w:p>
          <w:p>
            <w:pPr>
              <w:snapToGrid w:val="0"/>
              <w:ind w:left="0" w:leftChars="0" w:right="0" w:rightChars="0" w:firstLine="0" w:firstLineChars="0"/>
              <w:rPr>
                <w:rFonts w:eastAsia="仿宋"/>
                <w:iCs/>
                <w:sz w:val="21"/>
                <w:szCs w:val="21"/>
              </w:rPr>
            </w:pPr>
            <w:r>
              <w:rPr>
                <w:rFonts w:eastAsia="仿宋"/>
                <w:iCs/>
                <w:sz w:val="21"/>
                <w:szCs w:val="21"/>
              </w:rPr>
              <w:t>（8）本项目生产原料为危险废物，其中收集的无机氟化物废物、废酸、废碱、酸碱洗废液、表面处理废物等，由厂外拖运回来后直接分别存放在罐区内。以上物料存在腐蚀性，对生产设备、管线、阀门及其它设施存在腐蚀危害。因腐蚀破坏常常不容易被察觉，设备、管线、阀门因长期的腐蚀作用一旦被腐蚀破坏（材料减薄、穿孔、强度降低、密封失效等），物料泄漏可导致燃爆事故、人体化学灼伤事故；</w:t>
            </w:r>
          </w:p>
          <w:p>
            <w:pPr>
              <w:snapToGrid w:val="0"/>
              <w:ind w:left="0" w:leftChars="0" w:right="0" w:rightChars="0" w:firstLine="0" w:firstLineChars="0"/>
              <w:rPr>
                <w:rFonts w:ascii="仿宋" w:hAnsi="仿宋" w:eastAsia="仿宋" w:cs="宋体"/>
                <w:iCs/>
                <w:sz w:val="21"/>
                <w:szCs w:val="21"/>
              </w:rPr>
            </w:pPr>
            <w:r>
              <w:rPr>
                <w:rFonts w:eastAsia="仿宋"/>
                <w:iCs/>
                <w:sz w:val="21"/>
                <w:szCs w:val="21"/>
              </w:rPr>
              <w:t>（9）电缆质量不好，电缆隔热、散热不良，过载等引起电缆发热；电缆绝缘老化，接触不良；电缆沟被车辆压坏，造成瓷套管破裂损坏，潮湿（或积水）引起短路。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78" w:hRule="atLeast"/>
          <w:jc w:val="center"/>
        </w:trPr>
        <w:tc>
          <w:tcPr>
            <w:tcW w:w="1042" w:type="dxa"/>
            <w:shd w:val="clear" w:color="auto" w:fill="auto"/>
            <w:vAlign w:val="center"/>
          </w:tcPr>
          <w:p>
            <w:pPr>
              <w:spacing w:line="320" w:lineRule="exact"/>
              <w:ind w:left="0" w:leftChars="0" w:right="0" w:rightChars="0" w:firstLine="0" w:firstLineChars="0"/>
              <w:jc w:val="center"/>
              <w:rPr>
                <w:rFonts w:ascii="仿宋" w:hAnsi="仿宋" w:eastAsia="仿宋"/>
                <w:kern w:val="0"/>
                <w:sz w:val="21"/>
                <w:szCs w:val="21"/>
              </w:rPr>
            </w:pPr>
            <w:r>
              <w:rPr>
                <w:rFonts w:hint="eastAsia" w:ascii="仿宋" w:hAnsi="仿宋" w:eastAsia="仿宋"/>
                <w:kern w:val="0"/>
                <w:sz w:val="21"/>
                <w:szCs w:val="21"/>
              </w:rPr>
              <w:t>储运</w:t>
            </w:r>
          </w:p>
          <w:p>
            <w:pPr>
              <w:spacing w:line="320" w:lineRule="exact"/>
              <w:ind w:left="0" w:leftChars="0" w:right="0" w:rightChars="0" w:firstLine="0" w:firstLineChars="0"/>
              <w:jc w:val="center"/>
              <w:rPr>
                <w:rFonts w:ascii="仿宋" w:hAnsi="仿宋" w:eastAsia="仿宋"/>
                <w:color w:val="FF0000"/>
                <w:sz w:val="21"/>
                <w:szCs w:val="21"/>
              </w:rPr>
            </w:pPr>
            <w:r>
              <w:rPr>
                <w:rFonts w:hint="eastAsia" w:ascii="仿宋" w:hAnsi="仿宋" w:eastAsia="仿宋"/>
                <w:kern w:val="0"/>
                <w:sz w:val="21"/>
                <w:szCs w:val="21"/>
              </w:rPr>
              <w:t>过程</w:t>
            </w:r>
          </w:p>
        </w:tc>
        <w:tc>
          <w:tcPr>
            <w:tcW w:w="8495" w:type="dxa"/>
            <w:shd w:val="clear" w:color="auto" w:fill="auto"/>
            <w:vAlign w:val="center"/>
          </w:tcPr>
          <w:p>
            <w:pPr>
              <w:snapToGrid w:val="0"/>
              <w:ind w:left="0" w:leftChars="0" w:right="0" w:rightChars="0" w:firstLine="0" w:firstLineChars="0"/>
              <w:rPr>
                <w:rFonts w:ascii="仿宋" w:hAnsi="仿宋" w:eastAsia="仿宋"/>
                <w:kern w:val="0"/>
                <w:sz w:val="21"/>
                <w:szCs w:val="21"/>
              </w:rPr>
            </w:pPr>
            <w:r>
              <w:rPr>
                <w:rFonts w:hint="eastAsia" w:ascii="仿宋" w:hAnsi="仿宋" w:eastAsia="仿宋"/>
                <w:kern w:val="0"/>
                <w:sz w:val="21"/>
                <w:szCs w:val="21"/>
              </w:rPr>
              <w:t>1</w:t>
            </w:r>
            <w:r>
              <w:rPr>
                <w:rFonts w:ascii="仿宋" w:hAnsi="仿宋" w:eastAsia="仿宋"/>
                <w:kern w:val="0"/>
                <w:sz w:val="21"/>
                <w:szCs w:val="21"/>
              </w:rPr>
              <w:t>.仓库</w:t>
            </w:r>
          </w:p>
          <w:p>
            <w:pPr>
              <w:snapToGrid w:val="0"/>
              <w:ind w:left="0" w:leftChars="0" w:right="0" w:rightChars="0" w:firstLine="0" w:firstLineChars="0"/>
              <w:rPr>
                <w:rFonts w:eastAsia="仿宋"/>
                <w:kern w:val="0"/>
                <w:sz w:val="21"/>
                <w:szCs w:val="21"/>
              </w:rPr>
            </w:pPr>
            <w:r>
              <w:rPr>
                <w:rFonts w:ascii="仿宋" w:hAnsi="仿宋" w:eastAsia="仿宋"/>
                <w:kern w:val="0"/>
                <w:sz w:val="21"/>
                <w:szCs w:val="21"/>
              </w:rPr>
              <w:t>仓库物料火灾危险等级为甲、丙类。仓库中若违章出现禁忌类物料混存，储存场所温度高、通风不良，不能符合物料相应的仓储条件，可引发火灾、爆炸、中毒事故。在仓储物料的</w:t>
            </w:r>
            <w:r>
              <w:rPr>
                <w:rFonts w:eastAsia="仿宋"/>
                <w:kern w:val="0"/>
                <w:sz w:val="21"/>
                <w:szCs w:val="21"/>
              </w:rPr>
              <w:t>装卸、搬运过程中若操作不当，可因包装容器的破损造成物料的泄漏引发事故。</w:t>
            </w:r>
          </w:p>
          <w:p>
            <w:pPr>
              <w:snapToGrid w:val="0"/>
              <w:ind w:left="0" w:leftChars="0" w:right="0" w:rightChars="0" w:firstLine="0" w:firstLineChars="0"/>
              <w:rPr>
                <w:rFonts w:eastAsia="仿宋"/>
                <w:kern w:val="0"/>
                <w:sz w:val="21"/>
                <w:szCs w:val="21"/>
              </w:rPr>
            </w:pPr>
            <w:r>
              <w:rPr>
                <w:rFonts w:hint="eastAsia" w:eastAsia="仿宋"/>
                <w:kern w:val="0"/>
                <w:sz w:val="21"/>
                <w:szCs w:val="21"/>
              </w:rPr>
              <w:t>2</w:t>
            </w:r>
            <w:r>
              <w:rPr>
                <w:rFonts w:eastAsia="仿宋"/>
                <w:kern w:val="0"/>
                <w:sz w:val="21"/>
                <w:szCs w:val="21"/>
              </w:rPr>
              <w:t>.运输过程</w:t>
            </w:r>
          </w:p>
          <w:p>
            <w:pPr>
              <w:snapToGrid w:val="0"/>
              <w:ind w:left="0" w:leftChars="0" w:right="0" w:rightChars="0" w:firstLine="0" w:firstLineChars="0"/>
              <w:rPr>
                <w:rFonts w:eastAsia="仿宋"/>
                <w:kern w:val="0"/>
                <w:sz w:val="21"/>
                <w:szCs w:val="21"/>
              </w:rPr>
            </w:pPr>
            <w:r>
              <w:rPr>
                <w:rFonts w:hint="eastAsia" w:eastAsia="仿宋"/>
                <w:kern w:val="0"/>
                <w:sz w:val="21"/>
                <w:szCs w:val="21"/>
              </w:rPr>
              <w:t>（1）</w:t>
            </w:r>
            <w:r>
              <w:rPr>
                <w:rFonts w:eastAsia="仿宋"/>
                <w:kern w:val="0"/>
                <w:sz w:val="21"/>
                <w:szCs w:val="21"/>
              </w:rPr>
              <w:t>装卸、搬运过程中因路面不平或物料装车不稳固，可能发生物料的倾倒、翻落、撞击引起事故。</w:t>
            </w:r>
          </w:p>
          <w:p>
            <w:pPr>
              <w:snapToGrid w:val="0"/>
              <w:ind w:left="0" w:leftChars="0" w:right="0" w:rightChars="0" w:firstLine="0" w:firstLineChars="0"/>
              <w:rPr>
                <w:rFonts w:eastAsia="仿宋"/>
                <w:kern w:val="0"/>
                <w:sz w:val="21"/>
                <w:szCs w:val="21"/>
              </w:rPr>
            </w:pPr>
            <w:r>
              <w:rPr>
                <w:rFonts w:eastAsia="仿宋"/>
                <w:kern w:val="0"/>
                <w:sz w:val="21"/>
                <w:szCs w:val="21"/>
              </w:rPr>
              <w:t>该公司原辅料的运进、产品的运出都要采用汽车运输，因此存在车辆伤害的危险。另外，在运输过程中存在泄漏风险，若物料发生泄漏，对周围植物、农作物及动物生长造成影响甚至引起死亡。</w:t>
            </w:r>
          </w:p>
          <w:p>
            <w:pPr>
              <w:snapToGrid w:val="0"/>
              <w:ind w:left="0" w:leftChars="0" w:right="0" w:rightChars="0" w:firstLine="0" w:firstLineChars="0"/>
              <w:rPr>
                <w:rFonts w:eastAsia="仿宋"/>
                <w:kern w:val="0"/>
                <w:sz w:val="21"/>
                <w:szCs w:val="21"/>
              </w:rPr>
            </w:pPr>
            <w:r>
              <w:rPr>
                <w:rFonts w:eastAsia="仿宋"/>
                <w:kern w:val="0"/>
                <w:sz w:val="21"/>
                <w:szCs w:val="21"/>
              </w:rPr>
              <w:t>（</w:t>
            </w:r>
            <w:r>
              <w:rPr>
                <w:rFonts w:hint="eastAsia" w:eastAsia="仿宋"/>
                <w:kern w:val="0"/>
                <w:sz w:val="21"/>
                <w:szCs w:val="21"/>
              </w:rPr>
              <w:t>2</w:t>
            </w:r>
            <w:r>
              <w:rPr>
                <w:rFonts w:eastAsia="仿宋"/>
                <w:kern w:val="0"/>
                <w:sz w:val="21"/>
                <w:szCs w:val="21"/>
              </w:rPr>
              <w:t>）固废堆放场所的废料意外泄露，若地面未做防渗处理，泄漏物将通过地面渗漏，进而影响土壤和地下水。</w:t>
            </w:r>
          </w:p>
          <w:p>
            <w:pPr>
              <w:snapToGrid w:val="0"/>
              <w:ind w:left="0" w:leftChars="0" w:right="0" w:rightChars="0" w:firstLine="0" w:firstLineChars="0"/>
              <w:rPr>
                <w:rFonts w:ascii="仿宋" w:hAnsi="仿宋" w:eastAsia="仿宋"/>
                <w:color w:val="FF0000"/>
                <w:kern w:val="0"/>
                <w:sz w:val="21"/>
                <w:szCs w:val="21"/>
              </w:rPr>
            </w:pPr>
            <w:r>
              <w:rPr>
                <w:rFonts w:eastAsia="仿宋"/>
                <w:kern w:val="0"/>
                <w:sz w:val="21"/>
                <w:szCs w:val="21"/>
              </w:rPr>
              <w:t>（</w:t>
            </w:r>
            <w:r>
              <w:rPr>
                <w:rFonts w:hint="eastAsia" w:eastAsia="仿宋"/>
                <w:kern w:val="0"/>
                <w:sz w:val="21"/>
                <w:szCs w:val="21"/>
              </w:rPr>
              <w:t>3</w:t>
            </w:r>
            <w:r>
              <w:rPr>
                <w:rFonts w:eastAsia="仿宋"/>
                <w:kern w:val="0"/>
                <w:sz w:val="21"/>
                <w:szCs w:val="21"/>
              </w:rPr>
              <w:t>）</w:t>
            </w:r>
            <w:r>
              <w:rPr>
                <w:rFonts w:hint="eastAsia" w:ascii="仿宋" w:hAnsi="仿宋" w:eastAsia="仿宋"/>
                <w:kern w:val="0"/>
                <w:sz w:val="21"/>
                <w:szCs w:val="21"/>
              </w:rPr>
              <w:t>固废、危废运输过程中，相应的垃圾渗滤液可能直接从汽车上渗入地表，对厂区和运输路线周边居民及土壤造成严重危害。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9" w:hRule="atLeast"/>
          <w:jc w:val="center"/>
        </w:trPr>
        <w:tc>
          <w:tcPr>
            <w:tcW w:w="1042"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kern w:val="0"/>
                <w:sz w:val="21"/>
                <w:szCs w:val="21"/>
              </w:rPr>
              <w:t>公用工程</w:t>
            </w:r>
          </w:p>
        </w:tc>
        <w:tc>
          <w:tcPr>
            <w:tcW w:w="8495" w:type="dxa"/>
            <w:shd w:val="clear" w:color="auto" w:fill="auto"/>
            <w:vAlign w:val="center"/>
          </w:tcPr>
          <w:p>
            <w:pPr>
              <w:ind w:left="0" w:leftChars="0" w:right="0" w:rightChars="0" w:firstLine="0" w:firstLineChars="0"/>
              <w:rPr>
                <w:rFonts w:eastAsia="仿宋"/>
                <w:sz w:val="21"/>
                <w:szCs w:val="21"/>
              </w:rPr>
            </w:pPr>
            <w:r>
              <w:rPr>
                <w:rFonts w:eastAsia="仿宋"/>
                <w:sz w:val="21"/>
                <w:szCs w:val="21"/>
              </w:rPr>
              <w:t>全厂公用工程包括供排水、供配电和蒸汽供应。</w:t>
            </w:r>
          </w:p>
          <w:p>
            <w:pPr>
              <w:ind w:left="0" w:leftChars="0" w:right="0" w:rightChars="0" w:firstLine="0" w:firstLineChars="0"/>
              <w:rPr>
                <w:rFonts w:eastAsia="仿宋"/>
                <w:sz w:val="21"/>
                <w:szCs w:val="21"/>
              </w:rPr>
            </w:pPr>
            <w:r>
              <w:rPr>
                <w:rFonts w:eastAsia="仿宋"/>
                <w:sz w:val="21"/>
                <w:szCs w:val="21"/>
              </w:rPr>
              <w:t>（1）供水系统的建筑地下供排水管网发生泄露会导致建筑基础破坏；排水管道若无覆盖装置容易导致人员坠跌伤害等；冷却循环水系统若遭遇停电、故障等，会导致有毒物料等物质蒸汽外逸，引起中毒事故。</w:t>
            </w:r>
          </w:p>
          <w:p>
            <w:pPr>
              <w:ind w:left="0" w:leftChars="0" w:right="0" w:rightChars="0" w:firstLine="0" w:firstLineChars="0"/>
              <w:rPr>
                <w:rFonts w:eastAsia="仿宋"/>
                <w:sz w:val="21"/>
                <w:szCs w:val="21"/>
              </w:rPr>
            </w:pPr>
            <w:r>
              <w:rPr>
                <w:rFonts w:eastAsia="仿宋"/>
                <w:sz w:val="21"/>
                <w:szCs w:val="21"/>
              </w:rPr>
              <w:t>（2）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p>
            <w:pPr>
              <w:ind w:left="0" w:leftChars="0" w:right="0" w:rightChars="0" w:firstLine="0" w:firstLineChars="0"/>
              <w:rPr>
                <w:rFonts w:eastAsia="仿宋"/>
                <w:sz w:val="21"/>
                <w:szCs w:val="21"/>
              </w:rPr>
            </w:pPr>
            <w:r>
              <w:rPr>
                <w:rFonts w:eastAsia="仿宋"/>
                <w:sz w:val="21"/>
                <w:szCs w:val="21"/>
              </w:rPr>
              <w:t>（3）生产过程中突然停水停电，会导致工艺失控，引起火灾爆炸的危险。</w:t>
            </w:r>
          </w:p>
          <w:p>
            <w:pPr>
              <w:ind w:left="0" w:leftChars="0" w:right="0" w:rightChars="0" w:firstLine="0" w:firstLineChars="0"/>
              <w:rPr>
                <w:rFonts w:eastAsia="仿宋"/>
                <w:sz w:val="21"/>
                <w:szCs w:val="21"/>
              </w:rPr>
            </w:pPr>
            <w:r>
              <w:rPr>
                <w:rFonts w:eastAsia="仿宋"/>
                <w:sz w:val="21"/>
                <w:szCs w:val="21"/>
              </w:rPr>
              <w:t>（4）供热系统主要危险有害因素为由于供热管道损坏，蒸汽泄露，造成操作人员被高温烫伤。锅炉故障会导致处理工艺无法正常进行，从而可能引起废水不达标排放。</w:t>
            </w:r>
          </w:p>
          <w:p>
            <w:pPr>
              <w:ind w:left="0" w:leftChars="0" w:right="0" w:rightChars="0" w:firstLine="0" w:firstLineChars="0"/>
              <w:rPr>
                <w:rFonts w:eastAsia="仿宋"/>
                <w:sz w:val="21"/>
                <w:szCs w:val="21"/>
              </w:rPr>
            </w:pPr>
            <w:r>
              <w:rPr>
                <w:rFonts w:eastAsia="仿宋"/>
                <w:sz w:val="21"/>
                <w:szCs w:val="21"/>
              </w:rPr>
              <w:t>（5）若车间集水排水设施故障，可能导致废水直接进入雨污管网。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9" w:hRule="atLeast"/>
          <w:jc w:val="center"/>
        </w:trPr>
        <w:tc>
          <w:tcPr>
            <w:tcW w:w="1042" w:type="dxa"/>
            <w:shd w:val="clear" w:color="auto" w:fill="auto"/>
            <w:vAlign w:val="center"/>
          </w:tcPr>
          <w:p>
            <w:pPr>
              <w:ind w:left="0" w:leftChars="0" w:right="0" w:rightChars="0" w:firstLine="0" w:firstLineChars="0"/>
              <w:jc w:val="center"/>
              <w:rPr>
                <w:rFonts w:ascii="仿宋" w:hAnsi="仿宋" w:eastAsia="仿宋"/>
                <w:iCs/>
                <w:kern w:val="0"/>
                <w:sz w:val="21"/>
                <w:szCs w:val="21"/>
              </w:rPr>
            </w:pPr>
            <w:r>
              <w:rPr>
                <w:rFonts w:ascii="仿宋" w:hAnsi="仿宋" w:eastAsia="仿宋"/>
                <w:iCs/>
                <w:kern w:val="0"/>
                <w:sz w:val="21"/>
                <w:szCs w:val="21"/>
              </w:rPr>
              <w:t>环保处理设施</w:t>
            </w:r>
          </w:p>
        </w:tc>
        <w:tc>
          <w:tcPr>
            <w:tcW w:w="8495" w:type="dxa"/>
            <w:shd w:val="clear" w:color="auto" w:fill="auto"/>
            <w:vAlign w:val="center"/>
          </w:tcPr>
          <w:p>
            <w:pPr>
              <w:ind w:left="0" w:leftChars="0" w:right="0" w:rightChars="0" w:firstLine="0" w:firstLineChars="0"/>
              <w:rPr>
                <w:rFonts w:eastAsia="仿宋"/>
                <w:sz w:val="21"/>
                <w:szCs w:val="21"/>
              </w:rPr>
            </w:pPr>
            <w:r>
              <w:rPr>
                <w:rFonts w:eastAsia="仿宋"/>
                <w:sz w:val="21"/>
                <w:szCs w:val="21"/>
              </w:rPr>
              <w:t>（1）各废气处理系统出现故障可能导致废气的事故排放。</w:t>
            </w:r>
          </w:p>
          <w:p>
            <w:pPr>
              <w:ind w:left="0" w:leftChars="0" w:right="0" w:rightChars="0" w:firstLine="0" w:firstLineChars="0"/>
              <w:rPr>
                <w:rFonts w:eastAsia="仿宋"/>
                <w:sz w:val="21"/>
                <w:szCs w:val="21"/>
              </w:rPr>
            </w:pPr>
            <w:r>
              <w:rPr>
                <w:rFonts w:eastAsia="仿宋"/>
                <w:sz w:val="21"/>
                <w:szCs w:val="21"/>
              </w:rPr>
              <w:t>（2）各危险废物处理系统出现故障会引起废水处理不充分，导致废水事故性排放。</w:t>
            </w:r>
          </w:p>
          <w:p>
            <w:pPr>
              <w:ind w:left="0" w:leftChars="0" w:right="0" w:rightChars="0" w:firstLine="0" w:firstLineChars="0"/>
              <w:rPr>
                <w:rFonts w:eastAsia="仿宋"/>
                <w:sz w:val="21"/>
                <w:szCs w:val="21"/>
              </w:rPr>
            </w:pPr>
            <w:r>
              <w:rPr>
                <w:rFonts w:eastAsia="仿宋"/>
                <w:sz w:val="21"/>
                <w:szCs w:val="21"/>
              </w:rPr>
              <w:t>（3）若硫酸、盐酸用量不当，导致设备腐蚀，人员伤害。</w:t>
            </w:r>
          </w:p>
          <w:p>
            <w:pPr>
              <w:ind w:left="0" w:leftChars="0" w:right="0" w:rightChars="0" w:firstLine="0" w:firstLineChars="0"/>
              <w:rPr>
                <w:rFonts w:eastAsia="仿宋"/>
                <w:sz w:val="21"/>
                <w:szCs w:val="21"/>
              </w:rPr>
            </w:pPr>
            <w:r>
              <w:rPr>
                <w:rFonts w:eastAsia="仿宋"/>
                <w:sz w:val="21"/>
                <w:szCs w:val="21"/>
              </w:rPr>
              <w:t>（4）突发性泄漏和火灾爆炸事故泄漏、伴生和次生的泄漏物料、污水、消防水可能直接进入厂内污水管网和雨水管网，未经处理后排入园区污水和雨水管网，给污水处理厂造成一定的冲击并造成周边水环境污染。</w:t>
            </w:r>
          </w:p>
        </w:tc>
      </w:tr>
    </w:tbl>
    <w:p>
      <w:pPr>
        <w:pStyle w:val="3"/>
        <w:rPr>
          <w:rFonts w:ascii="仿宋" w:hAnsi="仿宋" w:eastAsia="仿宋"/>
        </w:rPr>
      </w:pPr>
      <w:bookmarkStart w:id="190" w:name="_Toc19169"/>
      <w:bookmarkStart w:id="191" w:name="_Toc328836331"/>
      <w:bookmarkStart w:id="192" w:name="_Toc328836531"/>
      <w:bookmarkStart w:id="193" w:name="_Toc328836398"/>
      <w:bookmarkStart w:id="194" w:name="_Toc328836757"/>
      <w:r>
        <w:rPr>
          <w:rFonts w:ascii="仿宋" w:hAnsi="仿宋" w:eastAsia="仿宋"/>
        </w:rPr>
        <w:t>3.2环境风险评价结果</w:t>
      </w:r>
      <w:bookmarkEnd w:id="190"/>
      <w:bookmarkEnd w:id="191"/>
      <w:bookmarkEnd w:id="192"/>
      <w:bookmarkEnd w:id="193"/>
      <w:bookmarkEnd w:id="194"/>
    </w:p>
    <w:p>
      <w:pPr>
        <w:pStyle w:val="132"/>
        <w:rPr>
          <w:rFonts w:ascii="仿宋" w:hAnsi="仿宋" w:eastAsia="仿宋"/>
        </w:rPr>
      </w:pPr>
      <w:bookmarkStart w:id="195" w:name="_Toc5204"/>
      <w:bookmarkStart w:id="196" w:name="_Toc359419367"/>
      <w:r>
        <w:rPr>
          <w:rFonts w:ascii="仿宋" w:hAnsi="仿宋" w:eastAsia="仿宋"/>
        </w:rPr>
        <w:t>3.2.1重大危险源判别结果</w:t>
      </w:r>
      <w:bookmarkEnd w:id="195"/>
      <w:bookmarkEnd w:id="196"/>
    </w:p>
    <w:p>
      <w:pPr>
        <w:pStyle w:val="4"/>
        <w:ind w:firstLine="560"/>
        <w:rPr>
          <w:rFonts w:ascii="仿宋" w:hAnsi="仿宋" w:eastAsia="仿宋"/>
        </w:rPr>
      </w:pPr>
      <w:r>
        <w:rPr>
          <w:rFonts w:hint="eastAsia" w:ascii="仿宋" w:hAnsi="仿宋" w:eastAsia="仿宋"/>
        </w:rPr>
        <w:t>项目涉及的危险化学品主要为</w:t>
      </w:r>
      <w:r>
        <w:rPr>
          <w:rFonts w:hint="eastAsia" w:ascii="仿宋" w:hAnsi="仿宋" w:eastAsia="仿宋"/>
          <w:lang w:eastAsia="zh-CN"/>
        </w:rPr>
        <w:t>氯化锌、</w:t>
      </w:r>
      <w:r>
        <w:rPr>
          <w:rFonts w:hint="eastAsia" w:ascii="仿宋" w:hAnsi="仿宋" w:eastAsia="仿宋"/>
        </w:rPr>
        <w:t>硫酸、盐酸、双氧水、</w:t>
      </w:r>
      <w:r>
        <w:rPr>
          <w:rFonts w:hint="eastAsia" w:ascii="仿宋" w:hAnsi="仿宋" w:eastAsia="仿宋"/>
          <w:lang w:eastAsia="zh-CN"/>
        </w:rPr>
        <w:t>氯酸钾</w:t>
      </w:r>
      <w:r>
        <w:rPr>
          <w:rFonts w:hint="eastAsia" w:ascii="仿宋" w:hAnsi="仿宋" w:eastAsia="仿宋"/>
        </w:rPr>
        <w:t>等，根据《危险化学品重大危险源辨识》（GB18218-2009），均未构成重大危险源，且本项目位于新干盐化工业城，属于非敏感用地，因此，根据《建设项目环境风险评价技术导则》（HJ/T169-2004），确定本项目的环境风险评价工作等级为二级</w:t>
      </w:r>
      <w:bookmarkStart w:id="197" w:name="_Toc359419368"/>
      <w:r>
        <w:rPr>
          <w:rFonts w:ascii="仿宋" w:hAnsi="仿宋" w:eastAsia="仿宋"/>
        </w:rPr>
        <w:t>。</w:t>
      </w:r>
    </w:p>
    <w:p>
      <w:pPr>
        <w:pStyle w:val="132"/>
        <w:rPr>
          <w:rFonts w:ascii="仿宋" w:hAnsi="仿宋" w:eastAsia="仿宋"/>
        </w:rPr>
      </w:pPr>
      <w:bookmarkStart w:id="198" w:name="_Toc20567"/>
      <w:r>
        <w:rPr>
          <w:rFonts w:ascii="仿宋" w:hAnsi="仿宋" w:eastAsia="仿宋"/>
        </w:rPr>
        <w:t>3.2.2最大可信事故及概率</w:t>
      </w:r>
      <w:bookmarkEnd w:id="197"/>
      <w:bookmarkEnd w:id="198"/>
    </w:p>
    <w:p>
      <w:pPr>
        <w:pStyle w:val="4"/>
        <w:ind w:firstLine="560"/>
        <w:rPr>
          <w:rFonts w:ascii="仿宋" w:hAnsi="仿宋" w:eastAsia="仿宋"/>
        </w:rPr>
      </w:pPr>
      <w:r>
        <w:rPr>
          <w:rFonts w:hint="eastAsia" w:ascii="仿宋" w:hAnsi="仿宋" w:eastAsia="仿宋"/>
        </w:rPr>
        <w:t>国内化工厂在多年生产过程中发生过多次事故，主要原因是生产过程中存在着易燃易爆和强腐蚀性的物质，另一方面是生产过程在一定温度、压力之下在机械设备中进行反应加工，在管道设备中输送与贮存，当生产系统发生机电方面的意外事故或工人误操作时，就会发生爆炸或泄漏的情况，造成大量有害物质的非正常排放，使环境受到非正常的突发性污染。本项目的主要风险是有毒化学品泄漏引起中毒事故，其中尤以</w:t>
      </w:r>
      <w:r>
        <w:rPr>
          <w:rFonts w:hint="eastAsia" w:ascii="仿宋" w:hAnsi="仿宋" w:eastAsia="仿宋"/>
          <w:lang w:eastAsia="zh-CN"/>
        </w:rPr>
        <w:t>硫酸</w:t>
      </w:r>
      <w:r>
        <w:rPr>
          <w:rFonts w:hint="eastAsia" w:ascii="仿宋" w:hAnsi="仿宋" w:eastAsia="仿宋"/>
        </w:rPr>
        <w:t>泄漏引起的中毒</w:t>
      </w:r>
      <w:r>
        <w:rPr>
          <w:rFonts w:hint="eastAsia" w:ascii="仿宋" w:hAnsi="仿宋" w:eastAsia="仿宋"/>
          <w:lang w:eastAsia="zh-CN"/>
        </w:rPr>
        <w:t>、腐蚀</w:t>
      </w:r>
      <w:r>
        <w:rPr>
          <w:rFonts w:hint="eastAsia" w:ascii="仿宋" w:hAnsi="仿宋" w:eastAsia="仿宋"/>
        </w:rPr>
        <w:t>事故最严重。发生事故的原因是原料贮罐破裂，最大的后果是人群中毒</w:t>
      </w:r>
      <w:r>
        <w:rPr>
          <w:rFonts w:hint="eastAsia" w:ascii="仿宋" w:hAnsi="仿宋" w:eastAsia="仿宋"/>
          <w:lang w:eastAsia="zh-CN"/>
        </w:rPr>
        <w:t>或腐蚀</w:t>
      </w:r>
      <w:r>
        <w:rPr>
          <w:rFonts w:hint="eastAsia" w:ascii="仿宋" w:hAnsi="仿宋" w:eastAsia="仿宋"/>
        </w:rPr>
        <w:t>。</w:t>
      </w:r>
    </w:p>
    <w:p>
      <w:pPr>
        <w:pStyle w:val="132"/>
        <w:rPr>
          <w:rFonts w:ascii="仿宋" w:hAnsi="仿宋" w:eastAsia="仿宋"/>
        </w:rPr>
      </w:pPr>
      <w:bookmarkStart w:id="199" w:name="_Toc359419369"/>
      <w:bookmarkStart w:id="200" w:name="_Toc18595"/>
      <w:r>
        <w:rPr>
          <w:rFonts w:ascii="仿宋" w:hAnsi="仿宋" w:eastAsia="仿宋"/>
        </w:rPr>
        <w:t>3.2.3风险可接受分析</w:t>
      </w:r>
      <w:bookmarkEnd w:id="199"/>
      <w:bookmarkEnd w:id="200"/>
    </w:p>
    <w:p>
      <w:pPr>
        <w:pStyle w:val="4"/>
        <w:ind w:firstLine="560"/>
      </w:pPr>
      <w:r>
        <w:rPr>
          <w:rFonts w:ascii="仿宋" w:hAnsi="仿宋" w:eastAsia="仿宋"/>
        </w:rPr>
        <w:t>该公司风险事故发生概率较小，按风险值计算方法计算，本项目最大事故风险值小于</w:t>
      </w:r>
      <w:r>
        <w:rPr>
          <w:rFonts w:hint="eastAsia" w:ascii="仿宋" w:hAnsi="仿宋" w:eastAsia="仿宋"/>
        </w:rPr>
        <w:t>化工</w:t>
      </w:r>
      <w:r>
        <w:rPr>
          <w:rFonts w:ascii="仿宋" w:hAnsi="仿宋" w:eastAsia="仿宋"/>
        </w:rPr>
        <w:t>行业</w:t>
      </w:r>
      <w:r>
        <w:rPr>
          <w:rFonts w:hint="eastAsia" w:ascii="仿宋" w:hAnsi="仿宋" w:eastAsia="仿宋"/>
        </w:rPr>
        <w:t>5.4</w:t>
      </w:r>
      <w:r>
        <w:rPr>
          <w:rFonts w:ascii="仿宋" w:hAnsi="仿宋" w:eastAsia="仿宋"/>
          <w:szCs w:val="28"/>
        </w:rPr>
        <w:sym w:font="Symbol" w:char="F0B4"/>
      </w:r>
      <w:r>
        <w:rPr>
          <w:rFonts w:ascii="仿宋" w:hAnsi="仿宋" w:eastAsia="仿宋"/>
        </w:rPr>
        <w:t>10</w:t>
      </w:r>
      <w:r>
        <w:rPr>
          <w:rFonts w:ascii="仿宋" w:hAnsi="仿宋" w:eastAsia="仿宋"/>
          <w:vertAlign w:val="superscript"/>
        </w:rPr>
        <w:t>-5</w:t>
      </w:r>
      <w:r>
        <w:rPr>
          <w:rFonts w:ascii="仿宋" w:hAnsi="仿宋" w:eastAsia="仿宋"/>
        </w:rPr>
        <w:t>死亡/年</w:t>
      </w:r>
      <w:r>
        <w:rPr>
          <w:rFonts w:hint="eastAsia" w:ascii="仿宋" w:hAnsi="仿宋" w:eastAsia="仿宋"/>
        </w:rPr>
        <w:t>（参照）</w:t>
      </w:r>
      <w:r>
        <w:rPr>
          <w:rFonts w:ascii="仿宋" w:hAnsi="仿宋" w:eastAsia="仿宋"/>
        </w:rPr>
        <w:t>。公司最大可信事故风险</w:t>
      </w:r>
      <w:r>
        <w:rPr>
          <w:rFonts w:hint="eastAsia" w:ascii="仿宋" w:hAnsi="仿宋" w:eastAsia="仿宋"/>
        </w:rPr>
        <w:t>接受程度是“人们对此比较关心，并愿意采取措施的” 的一类</w:t>
      </w:r>
      <w:r>
        <w:rPr>
          <w:rFonts w:ascii="仿宋" w:hAnsi="仿宋" w:eastAsia="仿宋"/>
        </w:rPr>
        <w:t>。</w:t>
      </w:r>
    </w:p>
    <w:p>
      <w:pPr>
        <w:pStyle w:val="2"/>
        <w:rPr>
          <w:rFonts w:ascii="仿宋" w:hAnsi="仿宋" w:eastAsia="仿宋"/>
        </w:rPr>
      </w:pPr>
      <w:bookmarkStart w:id="201" w:name="_Toc14963"/>
      <w:r>
        <w:rPr>
          <w:rFonts w:ascii="仿宋" w:hAnsi="仿宋" w:eastAsia="仿宋"/>
        </w:rPr>
        <w:t>4组织机构组成、职责</w:t>
      </w:r>
      <w:bookmarkEnd w:id="109"/>
      <w:bookmarkEnd w:id="110"/>
      <w:bookmarkEnd w:id="111"/>
      <w:bookmarkEnd w:id="112"/>
      <w:bookmarkEnd w:id="113"/>
      <w:r>
        <w:rPr>
          <w:rFonts w:ascii="仿宋" w:hAnsi="仿宋" w:eastAsia="仿宋"/>
        </w:rPr>
        <w:t>及分工</w:t>
      </w:r>
      <w:bookmarkEnd w:id="114"/>
      <w:bookmarkEnd w:id="115"/>
      <w:bookmarkEnd w:id="201"/>
      <w:bookmarkStart w:id="202" w:name="_Toc347352037"/>
      <w:bookmarkStart w:id="203" w:name="_Toc347388993"/>
    </w:p>
    <w:p>
      <w:pPr>
        <w:pStyle w:val="3"/>
        <w:rPr>
          <w:rFonts w:ascii="仿宋" w:hAnsi="仿宋" w:eastAsia="仿宋"/>
          <w:highlight w:val="none"/>
        </w:rPr>
      </w:pPr>
      <w:bookmarkStart w:id="204" w:name="_Toc30168"/>
      <w:r>
        <w:rPr>
          <w:rFonts w:ascii="仿宋" w:hAnsi="仿宋" w:eastAsia="仿宋"/>
          <w:highlight w:val="none"/>
        </w:rPr>
        <w:t>4.1应急救援组织机构图</w:t>
      </w:r>
      <w:bookmarkEnd w:id="202"/>
      <w:bookmarkEnd w:id="203"/>
      <w:bookmarkEnd w:id="204"/>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愚人纳米科技有限</w:t>
      </w:r>
      <w:r>
        <w:rPr>
          <w:rFonts w:hint="eastAsia" w:ascii="仿宋" w:hAnsi="仿宋" w:eastAsia="仿宋"/>
        </w:rPr>
        <w:t>有限公司</w:t>
      </w:r>
      <w:r>
        <w:rPr>
          <w:rFonts w:ascii="仿宋" w:hAnsi="仿宋" w:eastAsia="仿宋"/>
        </w:rPr>
        <w:t>应急救援组织机构图见图4-1。</w:t>
      </w:r>
    </w:p>
    <w:p>
      <w:pPr>
        <w:snapToGrid w:val="0"/>
        <w:spacing w:line="240" w:lineRule="auto"/>
        <w:ind w:left="0" w:leftChars="0" w:right="0" w:rightChars="0" w:firstLine="0" w:firstLineChars="0"/>
        <w:jc w:val="center"/>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239385" cy="2886710"/>
            <wp:effectExtent l="0" t="0" r="18415" b="8890"/>
            <wp:docPr id="8" name="图片 8" descr="微信图片_2018071711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717113254"/>
                    <pic:cNvPicPr>
                      <a:picLocks noChangeAspect="1"/>
                    </pic:cNvPicPr>
                  </pic:nvPicPr>
                  <pic:blipFill>
                    <a:blip r:embed="rId17"/>
                    <a:stretch>
                      <a:fillRect/>
                    </a:stretch>
                  </pic:blipFill>
                  <pic:spPr>
                    <a:xfrm>
                      <a:off x="0" y="0"/>
                      <a:ext cx="5239385" cy="2886710"/>
                    </a:xfrm>
                    <a:prstGeom prst="rect">
                      <a:avLst/>
                    </a:prstGeom>
                  </pic:spPr>
                </pic:pic>
              </a:graphicData>
            </a:graphic>
          </wp:inline>
        </w:drawing>
      </w:r>
    </w:p>
    <w:p>
      <w:pPr>
        <w:snapToGrid w:val="0"/>
        <w:spacing w:line="500" w:lineRule="exact"/>
        <w:ind w:left="0" w:leftChars="0" w:right="0" w:rightChars="0" w:firstLine="0" w:firstLineChars="0"/>
        <w:jc w:val="center"/>
        <w:rPr>
          <w:rFonts w:ascii="仿宋" w:hAnsi="仿宋" w:eastAsia="仿宋"/>
        </w:rPr>
      </w:pPr>
      <w:r>
        <w:rPr>
          <w:rFonts w:ascii="仿宋" w:hAnsi="仿宋" w:eastAsia="仿宋"/>
          <w:b/>
          <w:sz w:val="24"/>
        </w:rPr>
        <w:t>图4</w:t>
      </w:r>
      <w:r>
        <w:rPr>
          <w:rFonts w:hint="eastAsia" w:ascii="仿宋" w:hAnsi="仿宋" w:eastAsia="仿宋"/>
          <w:b/>
          <w:sz w:val="24"/>
        </w:rPr>
        <w:t>.1</w:t>
      </w:r>
      <w:r>
        <w:rPr>
          <w:rFonts w:ascii="仿宋" w:hAnsi="仿宋" w:eastAsia="仿宋"/>
          <w:b/>
          <w:sz w:val="24"/>
        </w:rPr>
        <w:t>-1</w:t>
      </w:r>
      <w:r>
        <w:rPr>
          <w:rFonts w:hint="eastAsia" w:ascii="仿宋" w:hAnsi="仿宋" w:eastAsia="仿宋"/>
          <w:b/>
          <w:sz w:val="24"/>
        </w:rPr>
        <w:t xml:space="preserve">  </w:t>
      </w:r>
      <w:r>
        <w:rPr>
          <w:rFonts w:ascii="仿宋" w:hAnsi="仿宋" w:eastAsia="仿宋"/>
          <w:b/>
          <w:sz w:val="24"/>
        </w:rPr>
        <w:t>应急救援组织机构图</w:t>
      </w:r>
    </w:p>
    <w:p>
      <w:pPr>
        <w:pStyle w:val="3"/>
        <w:rPr>
          <w:rFonts w:ascii="仿宋" w:hAnsi="仿宋" w:eastAsia="仿宋"/>
        </w:rPr>
      </w:pPr>
      <w:bookmarkStart w:id="205" w:name="_Toc278186393"/>
      <w:bookmarkStart w:id="206" w:name="_Toc147036070"/>
      <w:bookmarkStart w:id="207" w:name="_Toc347352038"/>
      <w:bookmarkStart w:id="208" w:name="_Toc328731298"/>
      <w:bookmarkStart w:id="209" w:name="_Toc28249"/>
      <w:bookmarkStart w:id="210" w:name="_Toc347388994"/>
      <w:bookmarkStart w:id="211" w:name="_Toc328731299"/>
      <w:r>
        <w:rPr>
          <w:rFonts w:ascii="仿宋" w:hAnsi="仿宋" w:eastAsia="仿宋"/>
        </w:rPr>
        <w:t>4.2应急救援机构组成及职责</w:t>
      </w:r>
      <w:bookmarkEnd w:id="205"/>
      <w:bookmarkEnd w:id="206"/>
      <w:bookmarkEnd w:id="207"/>
      <w:bookmarkEnd w:id="208"/>
      <w:bookmarkEnd w:id="209"/>
      <w:bookmarkEnd w:id="210"/>
    </w:p>
    <w:p>
      <w:pPr>
        <w:pStyle w:val="132"/>
        <w:rPr>
          <w:rFonts w:ascii="仿宋" w:hAnsi="仿宋" w:eastAsia="仿宋"/>
        </w:rPr>
      </w:pPr>
      <w:bookmarkStart w:id="212" w:name="_Toc359419374"/>
      <w:bookmarkStart w:id="213" w:name="_Toc358716439"/>
      <w:bookmarkStart w:id="214" w:name="_Toc11576"/>
      <w:r>
        <w:rPr>
          <w:rFonts w:ascii="仿宋" w:hAnsi="仿宋" w:eastAsia="仿宋"/>
        </w:rPr>
        <w:t>4.2.1指挥机构组成</w:t>
      </w:r>
      <w:bookmarkEnd w:id="212"/>
      <w:bookmarkEnd w:id="213"/>
      <w:bookmarkEnd w:id="214"/>
    </w:p>
    <w:p>
      <w:pPr>
        <w:pStyle w:val="4"/>
        <w:ind w:firstLine="560"/>
        <w:rPr>
          <w:rFonts w:ascii="仿宋" w:hAnsi="仿宋" w:eastAsia="仿宋"/>
          <w:color w:val="FF0000"/>
        </w:rPr>
      </w:pPr>
      <w:bookmarkStart w:id="215" w:name="_Toc358716440"/>
      <w:bookmarkStart w:id="216" w:name="_Toc328731300"/>
      <w:bookmarkStart w:id="217" w:name="_Toc359419375"/>
      <w:r>
        <w:rPr>
          <w:rFonts w:ascii="仿宋" w:hAnsi="仿宋" w:eastAsia="仿宋"/>
        </w:rPr>
        <w:t>依据事故危害程度的级别设置分级应急救援组织机构，由公司法人</w:t>
      </w:r>
      <w:r>
        <w:rPr>
          <w:rFonts w:hint="eastAsia" w:ascii="仿宋" w:hAnsi="仿宋" w:eastAsia="仿宋"/>
        </w:rPr>
        <w:t>、</w:t>
      </w:r>
      <w:r>
        <w:rPr>
          <w:rFonts w:ascii="仿宋" w:hAnsi="仿宋" w:eastAsia="仿宋"/>
        </w:rPr>
        <w:t>总经理及公司员工组成</w:t>
      </w:r>
      <w:r>
        <w:rPr>
          <w:rFonts w:hint="eastAsia" w:ascii="仿宋" w:hAnsi="仿宋" w:eastAsia="仿宋"/>
        </w:rPr>
        <w:t>，</w:t>
      </w:r>
      <w:r>
        <w:rPr>
          <w:rFonts w:ascii="仿宋" w:hAnsi="仿宋" w:eastAsia="仿宋"/>
        </w:rPr>
        <w:t>下设后勤</w:t>
      </w:r>
      <w:r>
        <w:rPr>
          <w:rFonts w:hint="eastAsia" w:ascii="仿宋" w:hAnsi="仿宋" w:eastAsia="仿宋"/>
          <w:lang w:eastAsia="zh-CN"/>
        </w:rPr>
        <w:t>保障</w:t>
      </w:r>
      <w:r>
        <w:rPr>
          <w:rFonts w:ascii="仿宋" w:hAnsi="仿宋" w:eastAsia="仿宋"/>
        </w:rPr>
        <w:t>组</w:t>
      </w:r>
      <w:r>
        <w:rPr>
          <w:rFonts w:hint="eastAsia" w:ascii="仿宋" w:hAnsi="仿宋" w:eastAsia="仿宋"/>
        </w:rPr>
        <w:t>、</w:t>
      </w:r>
      <w:r>
        <w:rPr>
          <w:rFonts w:hint="eastAsia" w:ascii="仿宋" w:hAnsi="仿宋" w:eastAsia="仿宋"/>
          <w:lang w:eastAsia="zh-CN"/>
        </w:rPr>
        <w:t>现场保卫</w:t>
      </w:r>
      <w:r>
        <w:rPr>
          <w:rFonts w:ascii="仿宋" w:hAnsi="仿宋" w:eastAsia="仿宋"/>
        </w:rPr>
        <w:t>组</w:t>
      </w:r>
      <w:r>
        <w:rPr>
          <w:rFonts w:hint="eastAsia" w:ascii="仿宋" w:hAnsi="仿宋" w:eastAsia="仿宋"/>
        </w:rPr>
        <w:t>、</w:t>
      </w:r>
      <w:r>
        <w:rPr>
          <w:rFonts w:hint="eastAsia" w:ascii="仿宋" w:hAnsi="仿宋" w:eastAsia="仿宋"/>
          <w:lang w:eastAsia="zh-CN"/>
        </w:rPr>
        <w:t>应急</w:t>
      </w:r>
      <w:r>
        <w:rPr>
          <w:rFonts w:ascii="仿宋" w:hAnsi="仿宋" w:eastAsia="仿宋"/>
        </w:rPr>
        <w:t>抢险组</w:t>
      </w:r>
      <w:r>
        <w:rPr>
          <w:rFonts w:hint="eastAsia" w:ascii="仿宋" w:hAnsi="仿宋" w:eastAsia="仿宋"/>
        </w:rPr>
        <w:t>。</w:t>
      </w:r>
      <w:r>
        <w:rPr>
          <w:rFonts w:ascii="仿宋" w:hAnsi="仿宋" w:eastAsia="仿宋"/>
        </w:rPr>
        <w:t>发生重大事故时，以指挥领导小组为基础，立即成立事故应急救援指挥部，</w:t>
      </w:r>
      <w:r>
        <w:rPr>
          <w:rFonts w:hint="eastAsia" w:ascii="仿宋" w:hAnsi="仿宋" w:eastAsia="仿宋"/>
          <w:lang w:eastAsia="zh-CN"/>
        </w:rPr>
        <w:t>邓许生</w:t>
      </w:r>
      <w:r>
        <w:rPr>
          <w:rFonts w:ascii="仿宋" w:hAnsi="仿宋" w:eastAsia="仿宋"/>
        </w:rPr>
        <w:t>任总指挥，</w:t>
      </w:r>
      <w:r>
        <w:rPr>
          <w:rFonts w:hint="eastAsia" w:ascii="仿宋" w:hAnsi="仿宋" w:eastAsia="仿宋"/>
          <w:lang w:eastAsia="zh-CN"/>
        </w:rPr>
        <w:t>黄少华</w:t>
      </w:r>
      <w:r>
        <w:rPr>
          <w:rFonts w:ascii="仿宋" w:hAnsi="仿宋" w:eastAsia="仿宋"/>
        </w:rPr>
        <w:t>任副总指挥，负责全厂应急救援工作的组织和指挥，指挥部设在公司办公室内，总指挥不在企业时，可由副总指挥临时任总指挥，特殊情况下由指挥小组其他负责人为临时总指挥，全权负责应急救援工作。</w:t>
      </w:r>
    </w:p>
    <w:p>
      <w:pPr>
        <w:pStyle w:val="4"/>
        <w:ind w:firstLine="560"/>
        <w:rPr>
          <w:rFonts w:ascii="仿宋" w:hAnsi="仿宋" w:eastAsia="仿宋"/>
          <w:color w:val="000000" w:themeColor="text1"/>
        </w:rPr>
      </w:pPr>
      <w:r>
        <w:rPr>
          <w:rFonts w:ascii="仿宋" w:hAnsi="仿宋" w:eastAsia="仿宋"/>
          <w:color w:val="000000" w:themeColor="text1"/>
        </w:rPr>
        <w:t>指挥部组成人员如下：</w:t>
      </w:r>
    </w:p>
    <w:p>
      <w:pPr>
        <w:pStyle w:val="4"/>
        <w:ind w:firstLine="560"/>
        <w:rPr>
          <w:rFonts w:ascii="仿宋" w:hAnsi="仿宋" w:eastAsia="仿宋"/>
          <w:color w:val="000000" w:themeColor="text1"/>
          <w:lang w:val="en-US"/>
        </w:rPr>
      </w:pPr>
      <w:r>
        <w:rPr>
          <w:rFonts w:ascii="仿宋" w:hAnsi="仿宋" w:eastAsia="仿宋"/>
          <w:color w:val="000000" w:themeColor="text1"/>
        </w:rPr>
        <w:t>总指挥：</w:t>
      </w:r>
      <w:r>
        <w:rPr>
          <w:rFonts w:hint="eastAsia" w:ascii="仿宋" w:hAnsi="仿宋" w:eastAsia="仿宋"/>
          <w:color w:val="000000" w:themeColor="text1"/>
          <w:lang w:eastAsia="zh-CN"/>
        </w:rPr>
        <w:t>邓许生</w:t>
      </w:r>
      <w:r>
        <w:rPr>
          <w:rFonts w:hint="eastAsia" w:ascii="仿宋" w:hAnsi="仿宋" w:eastAsia="仿宋"/>
          <w:color w:val="000000" w:themeColor="text1"/>
          <w:lang w:val="en-US" w:eastAsia="zh-CN"/>
        </w:rPr>
        <w:t xml:space="preserve">                                                                                                                                                                                                                                                                                                                                                                                                                                                                                                                                                                                                                                                                                                                                                                                                                                 </w:t>
      </w:r>
    </w:p>
    <w:p>
      <w:pPr>
        <w:pStyle w:val="4"/>
        <w:ind w:firstLine="560"/>
        <w:rPr>
          <w:rFonts w:hint="eastAsia" w:ascii="仿宋" w:hAnsi="仿宋" w:eastAsia="仿宋"/>
          <w:color w:val="000000" w:themeColor="text1"/>
          <w:lang w:eastAsia="zh-CN"/>
        </w:rPr>
      </w:pPr>
      <w:r>
        <w:rPr>
          <w:rFonts w:ascii="仿宋" w:hAnsi="仿宋" w:eastAsia="仿宋"/>
          <w:color w:val="000000" w:themeColor="text1"/>
        </w:rPr>
        <w:t>副总指挥：</w:t>
      </w:r>
      <w:r>
        <w:rPr>
          <w:rFonts w:hint="eastAsia" w:ascii="仿宋" w:hAnsi="仿宋" w:eastAsia="仿宋"/>
          <w:color w:val="000000" w:themeColor="text1"/>
          <w:lang w:eastAsia="zh-CN"/>
        </w:rPr>
        <w:t>黄少华、邓六生</w:t>
      </w:r>
    </w:p>
    <w:p>
      <w:pPr>
        <w:pStyle w:val="4"/>
        <w:ind w:firstLine="560"/>
        <w:rPr>
          <w:rFonts w:hint="eastAsia" w:ascii="仿宋" w:hAnsi="仿宋" w:eastAsia="仿宋"/>
          <w:color w:val="000000" w:themeColor="text1"/>
          <w:lang w:eastAsia="zh-CN"/>
        </w:rPr>
      </w:pPr>
      <w:r>
        <w:rPr>
          <w:rFonts w:hint="eastAsia" w:ascii="仿宋" w:hAnsi="仿宋" w:eastAsia="仿宋"/>
          <w:color w:val="000000" w:themeColor="text1"/>
        </w:rPr>
        <w:t>后勤</w:t>
      </w:r>
      <w:r>
        <w:rPr>
          <w:rFonts w:hint="eastAsia" w:ascii="仿宋" w:hAnsi="仿宋" w:eastAsia="仿宋"/>
          <w:color w:val="000000" w:themeColor="text1"/>
          <w:lang w:eastAsia="zh-CN"/>
        </w:rPr>
        <w:t>保障</w:t>
      </w:r>
      <w:r>
        <w:rPr>
          <w:rFonts w:hint="eastAsia" w:ascii="仿宋" w:hAnsi="仿宋" w:eastAsia="仿宋"/>
          <w:color w:val="000000" w:themeColor="text1"/>
        </w:rPr>
        <w:t>组：</w:t>
      </w:r>
      <w:r>
        <w:rPr>
          <w:rFonts w:hint="eastAsia" w:ascii="仿宋" w:hAnsi="仿宋" w:eastAsia="仿宋"/>
          <w:color w:val="000000" w:themeColor="text1"/>
          <w:lang w:eastAsia="zh-CN"/>
        </w:rPr>
        <w:t>戈菊兰、邓亮群、聂美艳</w:t>
      </w:r>
    </w:p>
    <w:p>
      <w:pPr>
        <w:pStyle w:val="4"/>
        <w:ind w:firstLine="560"/>
        <w:rPr>
          <w:rFonts w:hint="eastAsia" w:ascii="仿宋" w:hAnsi="仿宋" w:eastAsia="仿宋"/>
          <w:color w:val="000000" w:themeColor="text1"/>
          <w:lang w:eastAsia="zh-CN"/>
        </w:rPr>
      </w:pPr>
      <w:r>
        <w:rPr>
          <w:rFonts w:hint="eastAsia" w:ascii="仿宋" w:hAnsi="仿宋" w:eastAsia="仿宋"/>
          <w:color w:val="000000" w:themeColor="text1"/>
          <w:lang w:eastAsia="zh-CN"/>
        </w:rPr>
        <w:t>应急抢险</w:t>
      </w:r>
      <w:r>
        <w:rPr>
          <w:rFonts w:hint="eastAsia" w:ascii="仿宋" w:hAnsi="仿宋" w:eastAsia="仿宋"/>
          <w:color w:val="000000" w:themeColor="text1"/>
        </w:rPr>
        <w:t>组：</w:t>
      </w:r>
      <w:r>
        <w:rPr>
          <w:rFonts w:hint="eastAsia" w:ascii="仿宋" w:hAnsi="仿宋" w:eastAsia="仿宋"/>
          <w:color w:val="000000" w:themeColor="text1"/>
          <w:lang w:eastAsia="zh-CN"/>
        </w:rPr>
        <w:t>黄少华、邓六生、邹新根、邓水仔、</w:t>
      </w:r>
    </w:p>
    <w:p>
      <w:pPr>
        <w:pStyle w:val="4"/>
        <w:ind w:firstLine="2240" w:firstLineChars="800"/>
        <w:rPr>
          <w:rFonts w:hint="eastAsia" w:ascii="仿宋" w:hAnsi="仿宋" w:eastAsia="仿宋"/>
          <w:color w:val="000000" w:themeColor="text1"/>
          <w:lang w:eastAsia="zh-CN"/>
        </w:rPr>
      </w:pPr>
      <w:r>
        <w:rPr>
          <w:rFonts w:hint="eastAsia" w:ascii="仿宋" w:hAnsi="仿宋" w:eastAsia="仿宋"/>
          <w:color w:val="000000" w:themeColor="text1"/>
          <w:lang w:eastAsia="zh-CN"/>
        </w:rPr>
        <w:t>皮林如、陈雄文、吴飞云</w:t>
      </w:r>
    </w:p>
    <w:p>
      <w:pPr>
        <w:pStyle w:val="4"/>
        <w:ind w:firstLine="560"/>
        <w:rPr>
          <w:rFonts w:ascii="仿宋" w:hAnsi="仿宋" w:eastAsia="仿宋"/>
          <w:color w:val="FF0000"/>
        </w:rPr>
      </w:pPr>
      <w:r>
        <w:rPr>
          <w:rFonts w:hint="eastAsia" w:ascii="仿宋" w:hAnsi="仿宋" w:eastAsia="仿宋"/>
          <w:color w:val="000000" w:themeColor="text1"/>
          <w:lang w:eastAsia="zh-CN"/>
        </w:rPr>
        <w:t>现场保卫</w:t>
      </w:r>
      <w:r>
        <w:rPr>
          <w:rFonts w:hint="eastAsia" w:ascii="仿宋" w:hAnsi="仿宋" w:eastAsia="仿宋"/>
          <w:color w:val="000000" w:themeColor="text1"/>
        </w:rPr>
        <w:t>组：</w:t>
      </w:r>
      <w:r>
        <w:rPr>
          <w:rFonts w:hint="eastAsia" w:ascii="仿宋" w:hAnsi="仿宋" w:eastAsia="仿宋"/>
          <w:color w:val="000000" w:themeColor="text1"/>
          <w:lang w:eastAsia="zh-CN"/>
        </w:rPr>
        <w:t>艾跃雄、廖新红、周小兰</w:t>
      </w:r>
    </w:p>
    <w:p>
      <w:pPr>
        <w:pStyle w:val="132"/>
        <w:rPr>
          <w:rFonts w:ascii="仿宋" w:hAnsi="仿宋" w:eastAsia="仿宋"/>
        </w:rPr>
      </w:pPr>
      <w:bookmarkStart w:id="218" w:name="_Toc15909"/>
      <w:r>
        <w:rPr>
          <w:rFonts w:ascii="仿宋" w:hAnsi="仿宋" w:eastAsia="仿宋"/>
        </w:rPr>
        <w:t>4.2.2 指挥机构主要职责</w:t>
      </w:r>
      <w:bookmarkEnd w:id="215"/>
      <w:bookmarkEnd w:id="216"/>
      <w:bookmarkEnd w:id="217"/>
      <w:bookmarkEnd w:id="218"/>
    </w:p>
    <w:p>
      <w:pPr>
        <w:pStyle w:val="4"/>
        <w:ind w:firstLine="560"/>
        <w:rPr>
          <w:rFonts w:ascii="仿宋" w:hAnsi="仿宋" w:eastAsia="仿宋"/>
        </w:rPr>
      </w:pPr>
      <w:r>
        <w:rPr>
          <w:rFonts w:hint="eastAsia" w:ascii="仿宋" w:hAnsi="仿宋" w:eastAsia="仿宋"/>
        </w:rPr>
        <w:t>公司应急救援组织指挥机构主要职责：</w:t>
      </w:r>
    </w:p>
    <w:p>
      <w:pPr>
        <w:pStyle w:val="4"/>
        <w:ind w:firstLine="560"/>
        <w:rPr>
          <w:rFonts w:ascii="仿宋" w:hAnsi="仿宋" w:eastAsia="仿宋"/>
        </w:rPr>
      </w:pPr>
      <w:r>
        <w:rPr>
          <w:rFonts w:ascii="仿宋" w:hAnsi="仿宋" w:eastAsia="仿宋"/>
        </w:rPr>
        <w:t>（1）贯彻执行国家、当地政府、上级有关部门关于环境安全的方针、政策及规定；</w:t>
      </w:r>
    </w:p>
    <w:p>
      <w:pPr>
        <w:pStyle w:val="4"/>
        <w:ind w:firstLine="560"/>
        <w:rPr>
          <w:rFonts w:ascii="仿宋" w:hAnsi="仿宋" w:eastAsia="仿宋"/>
        </w:rPr>
      </w:pPr>
      <w:r>
        <w:rPr>
          <w:rFonts w:ascii="仿宋" w:hAnsi="仿宋" w:eastAsia="仿宋"/>
        </w:rPr>
        <w:t>（2）组织制定突发环境事件应急预案；</w:t>
      </w:r>
    </w:p>
    <w:p>
      <w:pPr>
        <w:pStyle w:val="4"/>
        <w:ind w:firstLine="560"/>
        <w:rPr>
          <w:rFonts w:ascii="仿宋" w:hAnsi="仿宋" w:eastAsia="仿宋"/>
        </w:rPr>
      </w:pPr>
      <w:r>
        <w:rPr>
          <w:rFonts w:ascii="仿宋" w:hAnsi="仿宋" w:eastAsia="仿宋"/>
        </w:rPr>
        <w:t>（3）组建突发环境事件应急救援队伍；</w:t>
      </w:r>
    </w:p>
    <w:p>
      <w:pPr>
        <w:pStyle w:val="4"/>
        <w:ind w:firstLine="560"/>
        <w:rPr>
          <w:rFonts w:ascii="仿宋" w:hAnsi="仿宋" w:eastAsia="仿宋"/>
        </w:rPr>
      </w:pPr>
      <w:r>
        <w:rPr>
          <w:rFonts w:ascii="仿宋" w:hAnsi="仿宋" w:eastAsia="仿宋"/>
        </w:rPr>
        <w:t>（4）负责应急防范设施（备）（如堵漏器材、事故应急池、应急监测仪器、防护器材、救援器材和应急交通工具等）的建设；以及应急救援物资，特别是处理泄漏物、消解和吸收污染物的化学品物资（如活性炭、</w:t>
      </w:r>
      <w:r>
        <w:rPr>
          <w:rFonts w:hint="eastAsia" w:ascii="仿宋" w:hAnsi="仿宋" w:eastAsia="仿宋"/>
        </w:rPr>
        <w:t>黄沙</w:t>
      </w:r>
      <w:r>
        <w:rPr>
          <w:rFonts w:ascii="仿宋" w:hAnsi="仿宋" w:eastAsia="仿宋"/>
        </w:rPr>
        <w:t>等）的储备；</w:t>
      </w:r>
    </w:p>
    <w:p>
      <w:pPr>
        <w:pStyle w:val="4"/>
        <w:ind w:firstLine="560"/>
        <w:rPr>
          <w:rFonts w:ascii="仿宋" w:hAnsi="仿宋" w:eastAsia="仿宋"/>
        </w:rPr>
      </w:pPr>
      <w:r>
        <w:rPr>
          <w:rFonts w:ascii="仿宋" w:hAnsi="仿宋" w:eastAsia="仿宋"/>
        </w:rPr>
        <w:t>（5）检查督促做好突发环境事件的预防措施和应急救援的各项准备工作，督促、协助有关部门及时消除有毒有害物质的跑、冒、滴、漏；</w:t>
      </w:r>
    </w:p>
    <w:p>
      <w:pPr>
        <w:pStyle w:val="4"/>
        <w:ind w:firstLine="560"/>
        <w:rPr>
          <w:rFonts w:ascii="仿宋" w:hAnsi="仿宋" w:eastAsia="仿宋"/>
        </w:rPr>
      </w:pPr>
      <w:r>
        <w:rPr>
          <w:rFonts w:ascii="仿宋" w:hAnsi="仿宋" w:eastAsia="仿宋"/>
        </w:rPr>
        <w:t>（6）负责组织预案的审批与更新（企业应急指挥部负责审定企业内部各级应急预案）；</w:t>
      </w:r>
    </w:p>
    <w:p>
      <w:pPr>
        <w:pStyle w:val="4"/>
        <w:ind w:firstLine="560"/>
        <w:rPr>
          <w:rFonts w:ascii="仿宋" w:hAnsi="仿宋" w:eastAsia="仿宋"/>
        </w:rPr>
      </w:pPr>
      <w:r>
        <w:rPr>
          <w:rFonts w:ascii="仿宋" w:hAnsi="仿宋" w:eastAsia="仿宋"/>
        </w:rPr>
        <w:t>（7）负责组织</w:t>
      </w:r>
      <w:r>
        <w:rPr>
          <w:rFonts w:hint="eastAsia" w:ascii="仿宋" w:hAnsi="仿宋" w:eastAsia="仿宋"/>
        </w:rPr>
        <w:t>内部</w:t>
      </w:r>
      <w:r>
        <w:rPr>
          <w:rFonts w:ascii="仿宋" w:hAnsi="仿宋" w:eastAsia="仿宋"/>
        </w:rPr>
        <w:t>评审；</w:t>
      </w:r>
    </w:p>
    <w:p>
      <w:pPr>
        <w:pStyle w:val="4"/>
        <w:ind w:firstLine="560"/>
        <w:rPr>
          <w:rFonts w:ascii="仿宋" w:hAnsi="仿宋" w:eastAsia="仿宋"/>
        </w:rPr>
      </w:pPr>
      <w:r>
        <w:rPr>
          <w:rFonts w:ascii="仿宋" w:hAnsi="仿宋" w:eastAsia="仿宋"/>
        </w:rPr>
        <w:t>（8）批准本预案的启动与终止；</w:t>
      </w:r>
    </w:p>
    <w:p>
      <w:pPr>
        <w:pStyle w:val="4"/>
        <w:ind w:firstLine="560"/>
        <w:rPr>
          <w:rFonts w:ascii="仿宋" w:hAnsi="仿宋" w:eastAsia="仿宋"/>
        </w:rPr>
      </w:pPr>
      <w:r>
        <w:rPr>
          <w:rFonts w:ascii="仿宋" w:hAnsi="仿宋" w:eastAsia="仿宋"/>
        </w:rPr>
        <w:t>（9）确定现场指挥人员</w:t>
      </w:r>
      <w:r>
        <w:rPr>
          <w:rFonts w:hint="eastAsia" w:ascii="仿宋" w:hAnsi="仿宋" w:eastAsia="仿宋"/>
        </w:rPr>
        <w:t>；</w:t>
      </w:r>
    </w:p>
    <w:p>
      <w:pPr>
        <w:pStyle w:val="4"/>
        <w:ind w:firstLine="560"/>
        <w:rPr>
          <w:rFonts w:ascii="仿宋" w:hAnsi="仿宋" w:eastAsia="仿宋"/>
        </w:rPr>
      </w:pPr>
      <w:r>
        <w:rPr>
          <w:rFonts w:ascii="仿宋" w:hAnsi="仿宋" w:eastAsia="仿宋"/>
        </w:rPr>
        <w:t>（10）协调事件现场有关工作；</w:t>
      </w:r>
    </w:p>
    <w:p>
      <w:pPr>
        <w:pStyle w:val="4"/>
        <w:ind w:firstLine="560"/>
        <w:rPr>
          <w:rFonts w:ascii="仿宋" w:hAnsi="仿宋" w:eastAsia="仿宋"/>
        </w:rPr>
      </w:pPr>
      <w:r>
        <w:rPr>
          <w:rFonts w:ascii="仿宋" w:hAnsi="仿宋" w:eastAsia="仿宋"/>
        </w:rPr>
        <w:t>（11）负责应急队伍的调动和资源配置；</w:t>
      </w:r>
    </w:p>
    <w:p>
      <w:pPr>
        <w:pStyle w:val="4"/>
        <w:ind w:firstLine="560"/>
        <w:rPr>
          <w:rFonts w:ascii="仿宋" w:hAnsi="仿宋" w:eastAsia="仿宋"/>
        </w:rPr>
      </w:pPr>
      <w:r>
        <w:rPr>
          <w:rFonts w:ascii="仿宋" w:hAnsi="仿宋" w:eastAsia="仿宋"/>
        </w:rPr>
        <w:t>（12）突发环境事件信息的上报及可能受影响区域的通报工作；</w:t>
      </w:r>
    </w:p>
    <w:p>
      <w:pPr>
        <w:pStyle w:val="4"/>
        <w:ind w:firstLine="560"/>
        <w:rPr>
          <w:rFonts w:ascii="仿宋" w:hAnsi="仿宋" w:eastAsia="仿宋"/>
        </w:rPr>
      </w:pPr>
      <w:r>
        <w:rPr>
          <w:rFonts w:ascii="仿宋" w:hAnsi="仿宋" w:eastAsia="仿宋"/>
        </w:rPr>
        <w:t>（13）负责应急状态下请求外部救援力量的决策；</w:t>
      </w:r>
    </w:p>
    <w:p>
      <w:pPr>
        <w:pStyle w:val="4"/>
        <w:ind w:firstLine="560"/>
        <w:rPr>
          <w:rFonts w:ascii="仿宋" w:hAnsi="仿宋" w:eastAsia="仿宋"/>
        </w:rPr>
      </w:pPr>
      <w:r>
        <w:rPr>
          <w:rFonts w:ascii="仿宋" w:hAnsi="仿宋" w:eastAsia="仿宋"/>
        </w:rPr>
        <w:t xml:space="preserve">（14）接受上级应急救援指挥机构的指令和调动，协助事件的处理；配合有关部门对环境进行修复、事件调查、经验教训总结； </w:t>
      </w:r>
    </w:p>
    <w:p>
      <w:pPr>
        <w:pStyle w:val="4"/>
        <w:ind w:firstLine="560"/>
        <w:rPr>
          <w:rFonts w:ascii="仿宋" w:hAnsi="仿宋" w:eastAsia="仿宋"/>
        </w:rPr>
      </w:pPr>
      <w:r>
        <w:rPr>
          <w:rFonts w:ascii="仿宋" w:hAnsi="仿宋" w:eastAsia="仿宋"/>
        </w:rPr>
        <w:t>（15）负责保护事件现场及相关数据；</w:t>
      </w:r>
    </w:p>
    <w:p>
      <w:pPr>
        <w:pStyle w:val="4"/>
        <w:ind w:firstLine="560"/>
        <w:rPr>
          <w:rFonts w:ascii="仿宋" w:hAnsi="仿宋" w:eastAsia="仿宋"/>
          <w:color w:val="FF0000"/>
        </w:rPr>
      </w:pPr>
      <w:r>
        <w:rPr>
          <w:rFonts w:ascii="仿宋" w:hAnsi="仿宋" w:eastAsia="仿宋"/>
        </w:rPr>
        <w:t>（16）有计划地组织实施突发环境事件应急救援的培训，根据应急预案进行演练，向周边企业提供本单位有关危险物质特性、救援知识等宣传材料。</w:t>
      </w:r>
    </w:p>
    <w:p>
      <w:pPr>
        <w:pStyle w:val="132"/>
        <w:rPr>
          <w:rFonts w:ascii="仿宋" w:hAnsi="仿宋" w:eastAsia="仿宋"/>
        </w:rPr>
      </w:pPr>
      <w:bookmarkStart w:id="219" w:name="_Toc359419376"/>
      <w:bookmarkStart w:id="220" w:name="_Toc328731301"/>
      <w:bookmarkStart w:id="221" w:name="_Toc3759"/>
      <w:r>
        <w:rPr>
          <w:rFonts w:ascii="仿宋" w:hAnsi="仿宋" w:eastAsia="仿宋"/>
        </w:rPr>
        <w:t>4.2.3指挥领导及各成员单位具体职责</w:t>
      </w:r>
      <w:bookmarkEnd w:id="219"/>
      <w:bookmarkEnd w:id="220"/>
      <w:bookmarkEnd w:id="221"/>
    </w:p>
    <w:bookmarkEnd w:id="211"/>
    <w:p>
      <w:pPr>
        <w:pStyle w:val="4"/>
        <w:ind w:firstLine="560"/>
        <w:rPr>
          <w:rFonts w:ascii="仿宋" w:hAnsi="仿宋" w:eastAsia="仿宋"/>
        </w:rPr>
      </w:pPr>
      <w:r>
        <w:rPr>
          <w:rFonts w:ascii="仿宋" w:hAnsi="仿宋" w:eastAsia="仿宋"/>
        </w:rPr>
        <w:t>1、单位应急救援组织指挥领导职责</w:t>
      </w:r>
    </w:p>
    <w:p>
      <w:pPr>
        <w:pStyle w:val="4"/>
        <w:ind w:firstLine="560"/>
        <w:rPr>
          <w:rFonts w:ascii="仿宋" w:hAnsi="仿宋" w:eastAsia="仿宋"/>
        </w:rPr>
      </w:pPr>
      <w:r>
        <w:rPr>
          <w:rFonts w:ascii="仿宋" w:hAnsi="仿宋" w:eastAsia="仿宋"/>
        </w:rPr>
        <w:t>总指挥：应急救援的最高指挥官。协调</w:t>
      </w: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w:t>
      </w:r>
      <w:r>
        <w:rPr>
          <w:rFonts w:ascii="仿宋" w:hAnsi="仿宋" w:eastAsia="仿宋"/>
        </w:rPr>
        <w:t>的应急救援工作，根据事故情况向上级报告，并确定是否需要外援。安排调查事故，向上级提供事故调查报告，总结、审核本应急预案。</w:t>
      </w:r>
    </w:p>
    <w:p>
      <w:pPr>
        <w:pStyle w:val="4"/>
        <w:ind w:firstLine="560"/>
        <w:rPr>
          <w:rFonts w:ascii="仿宋" w:hAnsi="仿宋" w:eastAsia="仿宋"/>
        </w:rPr>
      </w:pPr>
      <w:r>
        <w:rPr>
          <w:rFonts w:ascii="仿宋" w:hAnsi="仿宋" w:eastAsia="仿宋"/>
        </w:rPr>
        <w:t>副总指挥：协助总指挥做好人员疏散秩序，清点人数，抢险救援</w:t>
      </w:r>
      <w:r>
        <w:rPr>
          <w:rFonts w:hint="eastAsia" w:ascii="仿宋" w:hAnsi="仿宋" w:eastAsia="仿宋"/>
        </w:rPr>
        <w:t>、</w:t>
      </w:r>
      <w:r>
        <w:rPr>
          <w:rFonts w:ascii="仿宋" w:hAnsi="仿宋" w:eastAsia="仿宋"/>
        </w:rPr>
        <w:t>消防保卫等工作。总指挥不在时，代行总指挥的职责。</w:t>
      </w:r>
    </w:p>
    <w:p>
      <w:pPr>
        <w:pStyle w:val="4"/>
        <w:ind w:firstLine="560"/>
        <w:rPr>
          <w:rFonts w:ascii="仿宋" w:hAnsi="仿宋" w:eastAsia="仿宋"/>
        </w:rPr>
      </w:pPr>
      <w:r>
        <w:rPr>
          <w:rFonts w:ascii="仿宋" w:hAnsi="仿宋" w:eastAsia="仿宋"/>
        </w:rPr>
        <w:t>2、救援队伍的组成及分工</w:t>
      </w:r>
    </w:p>
    <w:p>
      <w:pPr>
        <w:adjustRightInd w:val="0"/>
        <w:spacing w:line="500" w:lineRule="exact"/>
        <w:ind w:left="280" w:right="280" w:firstLine="560"/>
        <w:rPr>
          <w:rFonts w:ascii="仿宋" w:hAnsi="仿宋" w:eastAsia="仿宋"/>
          <w:bCs/>
          <w:kern w:val="0"/>
          <w:szCs w:val="28"/>
        </w:rPr>
      </w:pPr>
      <w:r>
        <w:rPr>
          <w:rFonts w:ascii="仿宋" w:hAnsi="仿宋" w:eastAsia="仿宋"/>
          <w:bCs/>
          <w:kern w:val="0"/>
          <w:szCs w:val="28"/>
        </w:rPr>
        <w:t>救援队伍包括：</w:t>
      </w:r>
      <w:r>
        <w:rPr>
          <w:rFonts w:hint="eastAsia" w:ascii="仿宋" w:hAnsi="仿宋" w:eastAsia="仿宋"/>
          <w:bCs/>
          <w:kern w:val="0"/>
          <w:szCs w:val="28"/>
          <w:lang w:eastAsia="zh-CN"/>
        </w:rPr>
        <w:t>应急抢险</w:t>
      </w:r>
      <w:r>
        <w:rPr>
          <w:rFonts w:ascii="仿宋" w:hAnsi="仿宋" w:eastAsia="仿宋"/>
          <w:bCs/>
          <w:kern w:val="0"/>
          <w:szCs w:val="28"/>
        </w:rPr>
        <w:t>组</w:t>
      </w:r>
      <w:r>
        <w:rPr>
          <w:rFonts w:hint="eastAsia" w:ascii="仿宋" w:hAnsi="仿宋" w:eastAsia="仿宋"/>
          <w:bCs/>
          <w:kern w:val="0"/>
          <w:szCs w:val="28"/>
        </w:rPr>
        <w:t>、</w:t>
      </w:r>
      <w:r>
        <w:rPr>
          <w:rFonts w:hint="eastAsia" w:ascii="仿宋" w:hAnsi="仿宋" w:eastAsia="仿宋"/>
          <w:bCs/>
          <w:kern w:val="0"/>
          <w:szCs w:val="28"/>
          <w:lang w:eastAsia="zh-CN"/>
        </w:rPr>
        <w:t>现场保卫</w:t>
      </w:r>
      <w:r>
        <w:rPr>
          <w:rFonts w:ascii="仿宋" w:hAnsi="仿宋" w:eastAsia="仿宋"/>
          <w:bCs/>
          <w:kern w:val="0"/>
          <w:szCs w:val="28"/>
        </w:rPr>
        <w:t>组</w:t>
      </w:r>
      <w:r>
        <w:rPr>
          <w:rFonts w:hint="eastAsia" w:ascii="仿宋" w:hAnsi="仿宋" w:eastAsia="仿宋"/>
          <w:bCs/>
          <w:kern w:val="0"/>
          <w:szCs w:val="28"/>
        </w:rPr>
        <w:t>、</w:t>
      </w:r>
      <w:r>
        <w:rPr>
          <w:rFonts w:hint="eastAsia" w:ascii="仿宋" w:hAnsi="仿宋" w:eastAsia="仿宋"/>
          <w:bCs/>
          <w:kern w:val="0"/>
          <w:szCs w:val="28"/>
          <w:lang w:eastAsia="zh-CN"/>
        </w:rPr>
        <w:t>后勤保障</w:t>
      </w:r>
      <w:r>
        <w:rPr>
          <w:rFonts w:ascii="仿宋" w:hAnsi="仿宋" w:eastAsia="仿宋"/>
          <w:bCs/>
          <w:kern w:val="0"/>
          <w:szCs w:val="28"/>
        </w:rPr>
        <w:t>组</w:t>
      </w:r>
      <w:r>
        <w:rPr>
          <w:rFonts w:hint="eastAsia" w:ascii="仿宋" w:hAnsi="仿宋" w:eastAsia="仿宋"/>
          <w:bCs/>
          <w:kern w:val="0"/>
          <w:szCs w:val="28"/>
        </w:rPr>
        <w:t>。</w:t>
      </w:r>
    </w:p>
    <w:p>
      <w:pPr>
        <w:adjustRightInd w:val="0"/>
        <w:spacing w:line="500" w:lineRule="exact"/>
        <w:ind w:left="280" w:right="280" w:firstLine="560"/>
        <w:rPr>
          <w:rFonts w:ascii="仿宋" w:hAnsi="仿宋" w:eastAsia="仿宋"/>
          <w:bCs/>
          <w:kern w:val="0"/>
          <w:szCs w:val="28"/>
        </w:rPr>
      </w:pPr>
      <w:r>
        <w:rPr>
          <w:rFonts w:hint="eastAsia" w:ascii="仿宋" w:hAnsi="仿宋" w:eastAsia="仿宋"/>
          <w:bCs/>
          <w:kern w:val="0"/>
          <w:szCs w:val="28"/>
        </w:rPr>
        <w:t>（1）</w:t>
      </w:r>
      <w:r>
        <w:rPr>
          <w:rFonts w:hint="eastAsia" w:ascii="仿宋" w:hAnsi="仿宋" w:eastAsia="仿宋"/>
          <w:bCs/>
          <w:kern w:val="0"/>
          <w:szCs w:val="28"/>
          <w:lang w:eastAsia="zh-CN"/>
        </w:rPr>
        <w:t>现场保卫</w:t>
      </w:r>
      <w:r>
        <w:rPr>
          <w:rFonts w:ascii="仿宋" w:hAnsi="仿宋" w:eastAsia="仿宋"/>
          <w:bCs/>
          <w:kern w:val="0"/>
          <w:szCs w:val="28"/>
        </w:rPr>
        <w:t>组</w:t>
      </w:r>
    </w:p>
    <w:p>
      <w:pPr>
        <w:adjustRightInd w:val="0"/>
        <w:spacing w:line="500" w:lineRule="exact"/>
        <w:ind w:left="280" w:right="280" w:firstLine="560"/>
        <w:rPr>
          <w:rFonts w:ascii="仿宋" w:hAnsi="仿宋" w:eastAsia="仿宋"/>
          <w:bCs/>
          <w:kern w:val="0"/>
          <w:szCs w:val="28"/>
        </w:rPr>
      </w:pPr>
      <w:r>
        <w:rPr>
          <w:rFonts w:hint="eastAsia" w:ascii="仿宋" w:hAnsi="仿宋" w:eastAsia="仿宋"/>
          <w:bCs/>
          <w:kern w:val="0"/>
          <w:szCs w:val="28"/>
          <w:lang w:eastAsia="zh-CN"/>
        </w:rPr>
        <w:t>现场保卫</w:t>
      </w:r>
      <w:r>
        <w:rPr>
          <w:rFonts w:ascii="仿宋" w:hAnsi="仿宋" w:eastAsia="仿宋"/>
          <w:bCs/>
          <w:kern w:val="0"/>
          <w:szCs w:val="28"/>
        </w:rPr>
        <w:t>组由公司</w:t>
      </w:r>
      <w:r>
        <w:rPr>
          <w:rFonts w:hint="eastAsia" w:ascii="仿宋" w:hAnsi="仿宋" w:eastAsia="仿宋"/>
          <w:bCs/>
          <w:kern w:val="0"/>
          <w:szCs w:val="28"/>
          <w:lang w:eastAsia="zh-CN"/>
        </w:rPr>
        <w:t>安环</w:t>
      </w:r>
      <w:r>
        <w:rPr>
          <w:rFonts w:hint="eastAsia" w:ascii="仿宋" w:hAnsi="仿宋" w:eastAsia="仿宋"/>
          <w:bCs/>
          <w:kern w:val="0"/>
          <w:szCs w:val="28"/>
        </w:rPr>
        <w:t>部主管</w:t>
      </w:r>
      <w:r>
        <w:rPr>
          <w:rFonts w:ascii="仿宋" w:hAnsi="仿宋" w:eastAsia="仿宋"/>
          <w:bCs/>
          <w:kern w:val="0"/>
          <w:szCs w:val="28"/>
        </w:rPr>
        <w:t>负责</w:t>
      </w:r>
      <w:r>
        <w:rPr>
          <w:rFonts w:hint="eastAsia" w:ascii="仿宋" w:hAnsi="仿宋" w:eastAsia="仿宋"/>
          <w:bCs/>
          <w:kern w:val="0"/>
          <w:szCs w:val="28"/>
        </w:rPr>
        <w:t>。</w:t>
      </w:r>
      <w:r>
        <w:rPr>
          <w:rFonts w:ascii="仿宋" w:hAnsi="仿宋" w:eastAsia="仿宋"/>
          <w:bCs/>
          <w:kern w:val="0"/>
          <w:szCs w:val="28"/>
        </w:rPr>
        <w:t>在事故、灾害发生后，通讯人员立即赶赴现场接通临时电话，供救灾指挥部使用；</w:t>
      </w:r>
      <w:r>
        <w:rPr>
          <w:rFonts w:hint="eastAsia" w:ascii="仿宋" w:hAnsi="仿宋" w:eastAsia="仿宋"/>
          <w:bCs/>
          <w:kern w:val="0"/>
          <w:szCs w:val="28"/>
        </w:rPr>
        <w:t>及时</w:t>
      </w:r>
      <w:r>
        <w:rPr>
          <w:rFonts w:ascii="仿宋" w:hAnsi="仿宋" w:eastAsia="仿宋"/>
          <w:bCs/>
          <w:kern w:val="0"/>
          <w:szCs w:val="28"/>
        </w:rPr>
        <w:t>将事故信息报告公司总指挥部</w:t>
      </w:r>
      <w:r>
        <w:rPr>
          <w:rFonts w:hint="eastAsia" w:ascii="仿宋" w:hAnsi="仿宋" w:eastAsia="仿宋"/>
          <w:bCs/>
          <w:kern w:val="0"/>
          <w:szCs w:val="28"/>
        </w:rPr>
        <w:t>，</w:t>
      </w:r>
      <w:r>
        <w:rPr>
          <w:rFonts w:ascii="仿宋" w:hAnsi="仿宋" w:eastAsia="仿宋"/>
          <w:bCs/>
          <w:kern w:val="0"/>
          <w:szCs w:val="28"/>
        </w:rPr>
        <w:t>并保持各部门的联络畅通</w:t>
      </w:r>
      <w:r>
        <w:rPr>
          <w:rFonts w:hint="eastAsia" w:ascii="仿宋" w:hAnsi="仿宋" w:eastAsia="仿宋"/>
          <w:bCs/>
          <w:kern w:val="0"/>
          <w:szCs w:val="28"/>
        </w:rPr>
        <w:t>；</w:t>
      </w:r>
      <w:r>
        <w:rPr>
          <w:rFonts w:ascii="仿宋" w:hAnsi="仿宋" w:eastAsia="仿宋"/>
          <w:bCs/>
          <w:kern w:val="0"/>
          <w:szCs w:val="28"/>
        </w:rPr>
        <w:t>同时负责通知周边企业及敏感点</w:t>
      </w:r>
      <w:r>
        <w:rPr>
          <w:rFonts w:hint="eastAsia" w:ascii="仿宋" w:hAnsi="仿宋" w:eastAsia="仿宋"/>
          <w:bCs/>
          <w:kern w:val="0"/>
          <w:szCs w:val="28"/>
        </w:rPr>
        <w:t>，</w:t>
      </w:r>
      <w:r>
        <w:rPr>
          <w:rFonts w:ascii="仿宋" w:hAnsi="仿宋" w:eastAsia="仿宋"/>
          <w:bCs/>
          <w:kern w:val="0"/>
          <w:szCs w:val="28"/>
        </w:rPr>
        <w:t>及信息上报工作</w:t>
      </w:r>
      <w:r>
        <w:rPr>
          <w:rFonts w:hint="eastAsia" w:ascii="仿宋" w:hAnsi="仿宋" w:eastAsia="仿宋"/>
          <w:bCs/>
          <w:kern w:val="0"/>
          <w:szCs w:val="28"/>
        </w:rPr>
        <w:t>；负责对现场及周围安全人员进行防护指导、人员疏散及周围物资转移工作；事故发生后配合监测工作。</w:t>
      </w:r>
    </w:p>
    <w:p>
      <w:pPr>
        <w:adjustRightInd w:val="0"/>
        <w:spacing w:line="500" w:lineRule="exact"/>
        <w:ind w:left="280" w:right="280" w:firstLine="560"/>
        <w:rPr>
          <w:rFonts w:ascii="仿宋" w:hAnsi="仿宋" w:eastAsia="仿宋"/>
          <w:bCs/>
          <w:kern w:val="0"/>
          <w:szCs w:val="28"/>
        </w:rPr>
      </w:pPr>
      <w:r>
        <w:rPr>
          <w:rFonts w:hint="eastAsia" w:ascii="仿宋" w:hAnsi="仿宋" w:eastAsia="仿宋"/>
          <w:bCs/>
          <w:kern w:val="0"/>
          <w:szCs w:val="28"/>
        </w:rPr>
        <w:t>（2）</w:t>
      </w:r>
      <w:r>
        <w:rPr>
          <w:rFonts w:hint="eastAsia" w:ascii="仿宋" w:hAnsi="仿宋" w:eastAsia="仿宋"/>
          <w:bCs/>
          <w:kern w:val="0"/>
          <w:szCs w:val="28"/>
          <w:lang w:eastAsia="zh-CN"/>
        </w:rPr>
        <w:t>后勤保障</w:t>
      </w:r>
      <w:r>
        <w:rPr>
          <w:rFonts w:ascii="仿宋" w:hAnsi="仿宋" w:eastAsia="仿宋"/>
          <w:bCs/>
          <w:kern w:val="0"/>
          <w:szCs w:val="28"/>
        </w:rPr>
        <w:t>组</w:t>
      </w:r>
    </w:p>
    <w:p>
      <w:pPr>
        <w:adjustRightInd w:val="0"/>
        <w:spacing w:line="500" w:lineRule="exact"/>
        <w:ind w:left="280" w:right="280" w:firstLine="560"/>
        <w:rPr>
          <w:rFonts w:ascii="仿宋" w:hAnsi="仿宋" w:eastAsia="仿宋"/>
          <w:bCs/>
          <w:kern w:val="0"/>
          <w:szCs w:val="28"/>
        </w:rPr>
      </w:pPr>
      <w:r>
        <w:rPr>
          <w:rFonts w:hint="eastAsia" w:ascii="仿宋" w:hAnsi="仿宋" w:eastAsia="仿宋"/>
          <w:bCs/>
          <w:kern w:val="0"/>
          <w:szCs w:val="28"/>
          <w:lang w:eastAsia="zh-CN"/>
        </w:rPr>
        <w:t>后勤保障</w:t>
      </w:r>
      <w:r>
        <w:rPr>
          <w:rFonts w:ascii="仿宋" w:hAnsi="仿宋" w:eastAsia="仿宋"/>
          <w:bCs/>
          <w:kern w:val="0"/>
          <w:szCs w:val="28"/>
        </w:rPr>
        <w:t>组</w:t>
      </w:r>
      <w:r>
        <w:rPr>
          <w:rFonts w:hint="eastAsia" w:ascii="仿宋" w:hAnsi="仿宋" w:eastAsia="仿宋"/>
          <w:bCs/>
          <w:kern w:val="0"/>
          <w:szCs w:val="28"/>
        </w:rPr>
        <w:t>由</w:t>
      </w:r>
      <w:r>
        <w:rPr>
          <w:rFonts w:ascii="仿宋" w:hAnsi="仿宋" w:eastAsia="仿宋"/>
          <w:bCs/>
          <w:kern w:val="0"/>
          <w:szCs w:val="28"/>
        </w:rPr>
        <w:t>公司</w:t>
      </w:r>
      <w:r>
        <w:rPr>
          <w:rFonts w:hint="eastAsia" w:ascii="仿宋" w:hAnsi="仿宋" w:eastAsia="仿宋"/>
          <w:bCs/>
          <w:kern w:val="0"/>
          <w:szCs w:val="28"/>
          <w:lang w:eastAsia="zh-CN"/>
        </w:rPr>
        <w:t>财务</w:t>
      </w:r>
      <w:r>
        <w:rPr>
          <w:rFonts w:hint="eastAsia" w:ascii="仿宋" w:hAnsi="仿宋" w:eastAsia="仿宋"/>
          <w:bCs/>
          <w:kern w:val="0"/>
          <w:szCs w:val="28"/>
        </w:rPr>
        <w:t>经理</w:t>
      </w:r>
      <w:r>
        <w:rPr>
          <w:rFonts w:ascii="仿宋" w:hAnsi="仿宋" w:eastAsia="仿宋"/>
          <w:bCs/>
          <w:kern w:val="0"/>
          <w:szCs w:val="28"/>
        </w:rPr>
        <w:t>负责</w:t>
      </w:r>
      <w:r>
        <w:rPr>
          <w:rFonts w:hint="eastAsia" w:ascii="仿宋" w:hAnsi="仿宋" w:eastAsia="仿宋"/>
          <w:bCs/>
          <w:kern w:val="0"/>
          <w:szCs w:val="28"/>
        </w:rPr>
        <w:t>。</w:t>
      </w:r>
      <w:r>
        <w:rPr>
          <w:rFonts w:ascii="仿宋" w:hAnsi="仿宋" w:eastAsia="仿宋"/>
          <w:bCs/>
          <w:kern w:val="0"/>
          <w:szCs w:val="28"/>
        </w:rPr>
        <w:t>负责救援现场的救援物资供应</w:t>
      </w:r>
      <w:r>
        <w:rPr>
          <w:rFonts w:hint="eastAsia" w:ascii="仿宋" w:hAnsi="仿宋" w:eastAsia="仿宋"/>
          <w:bCs/>
          <w:kern w:val="0"/>
          <w:szCs w:val="28"/>
        </w:rPr>
        <w:t>、</w:t>
      </w:r>
      <w:r>
        <w:rPr>
          <w:rFonts w:ascii="仿宋" w:hAnsi="仿宋" w:eastAsia="仿宋"/>
          <w:bCs/>
          <w:kern w:val="0"/>
          <w:szCs w:val="28"/>
        </w:rPr>
        <w:t>调配以及储备相应药品、器械</w:t>
      </w:r>
      <w:r>
        <w:rPr>
          <w:rFonts w:hint="eastAsia" w:ascii="仿宋" w:hAnsi="仿宋" w:eastAsia="仿宋"/>
          <w:bCs/>
          <w:kern w:val="0"/>
          <w:szCs w:val="28"/>
        </w:rPr>
        <w:t>；</w:t>
      </w:r>
      <w:r>
        <w:rPr>
          <w:rFonts w:ascii="仿宋" w:hAnsi="仿宋" w:eastAsia="仿宋"/>
          <w:bCs/>
          <w:kern w:val="0"/>
          <w:szCs w:val="28"/>
        </w:rPr>
        <w:t>配合抢险和消防组救援</w:t>
      </w:r>
      <w:r>
        <w:rPr>
          <w:rFonts w:hint="eastAsia" w:ascii="仿宋" w:hAnsi="仿宋" w:eastAsia="仿宋"/>
          <w:bCs/>
          <w:kern w:val="0"/>
          <w:szCs w:val="28"/>
        </w:rPr>
        <w:t>，</w:t>
      </w:r>
      <w:r>
        <w:rPr>
          <w:rFonts w:ascii="仿宋" w:hAnsi="仿宋" w:eastAsia="仿宋"/>
          <w:bCs/>
          <w:kern w:val="0"/>
          <w:szCs w:val="28"/>
        </w:rPr>
        <w:t>为前线提供物资以便高效救援</w:t>
      </w:r>
      <w:r>
        <w:rPr>
          <w:rFonts w:hint="eastAsia" w:ascii="仿宋" w:hAnsi="仿宋" w:eastAsia="仿宋"/>
          <w:bCs/>
          <w:kern w:val="0"/>
          <w:szCs w:val="28"/>
        </w:rPr>
        <w:t>。</w:t>
      </w:r>
    </w:p>
    <w:p>
      <w:pPr>
        <w:adjustRightInd w:val="0"/>
        <w:spacing w:line="500" w:lineRule="exact"/>
        <w:ind w:left="280" w:right="280" w:firstLine="560"/>
        <w:rPr>
          <w:rFonts w:ascii="仿宋" w:hAnsi="仿宋" w:eastAsia="仿宋"/>
          <w:bCs/>
          <w:kern w:val="0"/>
          <w:szCs w:val="28"/>
        </w:rPr>
      </w:pPr>
      <w:r>
        <w:rPr>
          <w:rFonts w:hint="eastAsia" w:ascii="仿宋" w:hAnsi="仿宋" w:eastAsia="仿宋"/>
          <w:bCs/>
          <w:kern w:val="0"/>
          <w:szCs w:val="28"/>
        </w:rPr>
        <w:t>（3）</w:t>
      </w:r>
      <w:r>
        <w:rPr>
          <w:rFonts w:hint="eastAsia" w:ascii="仿宋" w:hAnsi="仿宋" w:eastAsia="仿宋"/>
          <w:bCs/>
          <w:kern w:val="0"/>
          <w:szCs w:val="28"/>
          <w:lang w:eastAsia="zh-CN"/>
        </w:rPr>
        <w:t>应急</w:t>
      </w:r>
      <w:r>
        <w:rPr>
          <w:rFonts w:ascii="仿宋" w:hAnsi="仿宋" w:eastAsia="仿宋"/>
          <w:bCs/>
          <w:kern w:val="0"/>
          <w:szCs w:val="28"/>
        </w:rPr>
        <w:t>抢险组</w:t>
      </w:r>
    </w:p>
    <w:p>
      <w:pPr>
        <w:adjustRightInd w:val="0"/>
        <w:spacing w:line="500" w:lineRule="exact"/>
        <w:ind w:left="280" w:right="280" w:firstLine="560"/>
        <w:rPr>
          <w:rFonts w:ascii="仿宋" w:hAnsi="仿宋" w:eastAsia="仿宋"/>
          <w:bCs/>
          <w:kern w:val="0"/>
          <w:szCs w:val="28"/>
        </w:rPr>
      </w:pPr>
      <w:r>
        <w:rPr>
          <w:rFonts w:hint="eastAsia" w:ascii="仿宋" w:hAnsi="仿宋" w:eastAsia="仿宋"/>
          <w:bCs/>
          <w:kern w:val="0"/>
          <w:szCs w:val="28"/>
          <w:lang w:eastAsia="zh-CN"/>
        </w:rPr>
        <w:t>应急</w:t>
      </w:r>
      <w:r>
        <w:rPr>
          <w:rFonts w:ascii="仿宋" w:hAnsi="仿宋" w:eastAsia="仿宋"/>
          <w:bCs/>
          <w:kern w:val="0"/>
          <w:szCs w:val="28"/>
        </w:rPr>
        <w:t>抢险组</w:t>
      </w:r>
      <w:r>
        <w:rPr>
          <w:rFonts w:hint="eastAsia" w:ascii="仿宋" w:hAnsi="仿宋" w:eastAsia="仿宋"/>
          <w:bCs/>
          <w:kern w:val="0"/>
          <w:szCs w:val="28"/>
        </w:rPr>
        <w:t>由公司</w:t>
      </w:r>
      <w:r>
        <w:rPr>
          <w:rFonts w:hint="eastAsia" w:ascii="仿宋" w:hAnsi="仿宋" w:eastAsia="仿宋"/>
          <w:bCs/>
          <w:kern w:val="0"/>
          <w:szCs w:val="28"/>
          <w:lang w:eastAsia="zh-CN"/>
        </w:rPr>
        <w:t>生产主管和各</w:t>
      </w:r>
      <w:r>
        <w:rPr>
          <w:rFonts w:hint="eastAsia" w:ascii="仿宋" w:hAnsi="仿宋" w:eastAsia="仿宋"/>
          <w:bCs/>
          <w:kern w:val="0"/>
          <w:szCs w:val="28"/>
        </w:rPr>
        <w:t>生产车间主</w:t>
      </w:r>
      <w:r>
        <w:rPr>
          <w:rFonts w:hint="eastAsia" w:ascii="仿宋" w:hAnsi="仿宋" w:eastAsia="仿宋"/>
          <w:bCs/>
          <w:kern w:val="0"/>
          <w:szCs w:val="28"/>
          <w:lang w:eastAsia="zh-CN"/>
        </w:rPr>
        <w:t>任及班组长</w:t>
      </w:r>
      <w:r>
        <w:rPr>
          <w:rFonts w:hint="eastAsia" w:ascii="仿宋" w:hAnsi="仿宋" w:eastAsia="仿宋"/>
          <w:bCs/>
          <w:kern w:val="0"/>
          <w:szCs w:val="28"/>
        </w:rPr>
        <w:t>负责。</w:t>
      </w:r>
      <w:r>
        <w:rPr>
          <w:rFonts w:ascii="仿宋" w:hAnsi="仿宋" w:eastAsia="仿宋"/>
          <w:bCs/>
          <w:kern w:val="0"/>
          <w:szCs w:val="28"/>
        </w:rPr>
        <w:t>根据可能发生的环境污染事故的特点，制定抢救方案；遵照指令派出抢险现场救护人员；对事故伤亡人员实施</w:t>
      </w:r>
      <w:r>
        <w:rPr>
          <w:rFonts w:hint="eastAsia" w:ascii="仿宋" w:hAnsi="仿宋" w:eastAsia="仿宋"/>
          <w:bCs/>
          <w:kern w:val="0"/>
          <w:szCs w:val="28"/>
        </w:rPr>
        <w:t>紧急救治并护送重伤人员至医院进一步治疗。</w:t>
      </w:r>
    </w:p>
    <w:p>
      <w:pPr>
        <w:pStyle w:val="2"/>
        <w:rPr>
          <w:rFonts w:ascii="仿宋" w:hAnsi="仿宋" w:eastAsia="仿宋"/>
        </w:rPr>
      </w:pPr>
      <w:bookmarkStart w:id="222" w:name="_Toc349743344"/>
      <w:bookmarkStart w:id="223" w:name="_Toc3918"/>
      <w:bookmarkStart w:id="224" w:name="_Toc347352039"/>
      <w:r>
        <w:rPr>
          <w:rFonts w:ascii="仿宋" w:hAnsi="仿宋" w:eastAsia="仿宋"/>
        </w:rPr>
        <w:t>5预防与预警</w:t>
      </w:r>
      <w:bookmarkEnd w:id="222"/>
      <w:bookmarkEnd w:id="223"/>
      <w:bookmarkEnd w:id="224"/>
    </w:p>
    <w:p>
      <w:pPr>
        <w:pStyle w:val="3"/>
        <w:rPr>
          <w:rFonts w:ascii="仿宋" w:hAnsi="仿宋" w:eastAsia="仿宋"/>
        </w:rPr>
      </w:pPr>
      <w:bookmarkStart w:id="225" w:name="_Toc347352040"/>
      <w:bookmarkStart w:id="226" w:name="_Toc349743345"/>
      <w:bookmarkStart w:id="227" w:name="_Toc557"/>
      <w:r>
        <w:rPr>
          <w:rFonts w:ascii="仿宋" w:hAnsi="仿宋" w:eastAsia="仿宋"/>
        </w:rPr>
        <w:t>5.1环境风险源监控</w:t>
      </w:r>
      <w:bookmarkEnd w:id="225"/>
      <w:bookmarkEnd w:id="226"/>
      <w:bookmarkEnd w:id="227"/>
    </w:p>
    <w:p>
      <w:pPr>
        <w:pStyle w:val="132"/>
        <w:rPr>
          <w:rFonts w:ascii="仿宋" w:hAnsi="仿宋" w:eastAsia="仿宋"/>
        </w:rPr>
      </w:pPr>
      <w:bookmarkStart w:id="228" w:name="_Toc358716443"/>
      <w:bookmarkStart w:id="229" w:name="_Toc359419379"/>
      <w:bookmarkStart w:id="230" w:name="_Toc10508"/>
      <w:r>
        <w:rPr>
          <w:rFonts w:ascii="仿宋" w:hAnsi="仿宋" w:eastAsia="仿宋"/>
        </w:rPr>
        <w:t>5.1.1危险源监测监控的方式、方法</w:t>
      </w:r>
      <w:bookmarkEnd w:id="228"/>
      <w:bookmarkEnd w:id="229"/>
      <w:bookmarkEnd w:id="230"/>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w:t>
      </w:r>
      <w:r>
        <w:rPr>
          <w:rFonts w:ascii="仿宋" w:hAnsi="仿宋" w:eastAsia="仿宋"/>
        </w:rPr>
        <w:t>对危险源制订管理方案，组织制定有针对性的控制措施，认真做好措施落实工作，建立日常监视和测量制度并予以实施，使危险源始终处于受控状态。</w:t>
      </w:r>
    </w:p>
    <w:p>
      <w:pPr>
        <w:pStyle w:val="4"/>
        <w:ind w:firstLine="560"/>
        <w:rPr>
          <w:rFonts w:ascii="仿宋" w:hAnsi="仿宋" w:eastAsia="仿宋"/>
        </w:rPr>
      </w:pPr>
      <w:r>
        <w:rPr>
          <w:rFonts w:ascii="仿宋" w:hAnsi="仿宋" w:eastAsia="仿宋"/>
        </w:rPr>
        <w:t>对于其他危险源的监控由生产部门、安全部门等进行日常的检查，强化制度执行，利用各种形式、各种途径开展员工安全教育培训，提高员工作业风险意识。</w:t>
      </w:r>
    </w:p>
    <w:p>
      <w:pPr>
        <w:pStyle w:val="4"/>
        <w:ind w:firstLine="560"/>
        <w:rPr>
          <w:rFonts w:ascii="仿宋" w:hAnsi="仿宋" w:eastAsia="仿宋"/>
        </w:rPr>
      </w:pPr>
      <w:r>
        <w:rPr>
          <w:rFonts w:ascii="仿宋" w:hAnsi="仿宋" w:eastAsia="仿宋"/>
        </w:rPr>
        <w:t>对于可能危及周围人员和设施安全的特种设备，定期进行检验，保证无隐患运行，特种人员必须持证上岗，并参加定期的专业培训。</w:t>
      </w:r>
    </w:p>
    <w:p>
      <w:pPr>
        <w:pStyle w:val="4"/>
        <w:ind w:firstLine="560"/>
        <w:rPr>
          <w:rFonts w:ascii="仿宋" w:hAnsi="仿宋" w:eastAsia="仿宋"/>
        </w:rPr>
      </w:pPr>
      <w:r>
        <w:rPr>
          <w:rFonts w:hint="eastAsia" w:ascii="仿宋" w:hAnsi="仿宋" w:eastAsia="仿宋"/>
        </w:rPr>
        <w:t>厂内</w:t>
      </w:r>
      <w:r>
        <w:rPr>
          <w:rFonts w:hint="eastAsia" w:ascii="仿宋" w:hAnsi="仿宋" w:eastAsia="仿宋"/>
          <w:lang w:eastAsia="zh-CN"/>
        </w:rPr>
        <w:t>生产</w:t>
      </w:r>
      <w:r>
        <w:rPr>
          <w:rFonts w:hint="eastAsia" w:ascii="仿宋" w:hAnsi="仿宋" w:eastAsia="仿宋"/>
        </w:rPr>
        <w:t>场所</w:t>
      </w:r>
      <w:r>
        <w:rPr>
          <w:rFonts w:hint="eastAsia" w:ascii="仿宋" w:hAnsi="仿宋" w:eastAsia="仿宋"/>
          <w:lang w:eastAsia="zh-CN"/>
        </w:rPr>
        <w:t>及仓库均</w:t>
      </w:r>
      <w:r>
        <w:rPr>
          <w:rFonts w:hint="eastAsia" w:ascii="仿宋" w:hAnsi="仿宋" w:eastAsia="仿宋"/>
        </w:rPr>
        <w:t>设有监控设施，并对危险固废进行定期检测、评估。加强监管，确保在线监控设施正常运行。按危险废物的管理规定进行建档、转移登记。固体废物清运过程中，应严格按生产工艺操作，严禁跑、冒、滴、漏，一旦发生泄漏，及时清理，妥善包装后送至指定的固定存放点。</w:t>
      </w:r>
    </w:p>
    <w:p>
      <w:pPr>
        <w:pStyle w:val="4"/>
        <w:ind w:firstLine="560"/>
        <w:rPr>
          <w:rFonts w:ascii="仿宋" w:hAnsi="仿宋" w:eastAsia="仿宋"/>
        </w:rPr>
      </w:pPr>
      <w:r>
        <w:rPr>
          <w:rFonts w:ascii="仿宋" w:hAnsi="仿宋" w:eastAsia="仿宋"/>
        </w:rPr>
        <w:t>（1）建立危险源管理制度，落实监控措施。</w:t>
      </w:r>
    </w:p>
    <w:p>
      <w:pPr>
        <w:pStyle w:val="4"/>
        <w:ind w:firstLine="560"/>
        <w:rPr>
          <w:rFonts w:ascii="仿宋" w:hAnsi="仿宋" w:eastAsia="仿宋"/>
        </w:rPr>
      </w:pPr>
      <w:r>
        <w:rPr>
          <w:rFonts w:ascii="仿宋" w:hAnsi="仿宋" w:eastAsia="仿宋"/>
        </w:rPr>
        <w:t>（2）建立危险源台账、档案。</w:t>
      </w:r>
    </w:p>
    <w:p>
      <w:pPr>
        <w:pStyle w:val="4"/>
        <w:ind w:firstLine="560"/>
        <w:rPr>
          <w:rFonts w:ascii="仿宋" w:hAnsi="仿宋" w:eastAsia="仿宋"/>
        </w:rPr>
      </w:pPr>
      <w:r>
        <w:rPr>
          <w:rFonts w:ascii="仿宋" w:hAnsi="仿宋" w:eastAsia="仿宋"/>
        </w:rPr>
        <w:t>（3）全厂和各部门对危险源定期安全检查，查“三违”，查事故隐患，落实整改措施。</w:t>
      </w:r>
    </w:p>
    <w:p>
      <w:pPr>
        <w:pStyle w:val="4"/>
        <w:tabs>
          <w:tab w:val="left" w:pos="6135"/>
        </w:tabs>
        <w:ind w:firstLine="560"/>
        <w:rPr>
          <w:rFonts w:ascii="仿宋" w:hAnsi="仿宋" w:eastAsia="仿宋"/>
        </w:rPr>
      </w:pPr>
      <w:r>
        <w:rPr>
          <w:rFonts w:ascii="仿宋" w:hAnsi="仿宋" w:eastAsia="仿宋"/>
        </w:rPr>
        <w:t>（4）建立环境监测和日常检查制度。</w:t>
      </w:r>
      <w:r>
        <w:rPr>
          <w:rFonts w:ascii="仿宋" w:hAnsi="仿宋" w:eastAsia="仿宋"/>
        </w:rPr>
        <w:tab/>
      </w:r>
    </w:p>
    <w:p>
      <w:pPr>
        <w:pStyle w:val="4"/>
        <w:ind w:firstLine="560"/>
        <w:rPr>
          <w:rFonts w:ascii="仿宋" w:hAnsi="仿宋" w:eastAsia="仿宋"/>
        </w:rPr>
      </w:pPr>
      <w:r>
        <w:rPr>
          <w:rFonts w:ascii="仿宋" w:hAnsi="仿宋" w:eastAsia="仿宋"/>
        </w:rPr>
        <w:t>（5）危险废物堆放场所环境安全管理。</w:t>
      </w:r>
    </w:p>
    <w:p>
      <w:pPr>
        <w:pStyle w:val="4"/>
        <w:ind w:firstLine="560"/>
        <w:rPr>
          <w:rFonts w:ascii="仿宋" w:hAnsi="仿宋" w:eastAsia="仿宋"/>
        </w:rPr>
      </w:pPr>
      <w:r>
        <w:rPr>
          <w:rFonts w:ascii="仿宋" w:hAnsi="仿宋" w:eastAsia="仿宋"/>
        </w:rPr>
        <w:t>（6）制订日常点检表，专人巡检，作好点检记录。</w:t>
      </w:r>
    </w:p>
    <w:p>
      <w:pPr>
        <w:pStyle w:val="4"/>
        <w:ind w:firstLine="560"/>
        <w:rPr>
          <w:rFonts w:ascii="仿宋" w:hAnsi="仿宋" w:eastAsia="仿宋"/>
        </w:rPr>
      </w:pPr>
      <w:r>
        <w:rPr>
          <w:rFonts w:ascii="仿宋" w:hAnsi="仿宋" w:eastAsia="仿宋"/>
        </w:rPr>
        <w:t>（7）设备设施定期保养并保持完好。</w:t>
      </w:r>
    </w:p>
    <w:p>
      <w:pPr>
        <w:pStyle w:val="132"/>
        <w:rPr>
          <w:rFonts w:ascii="仿宋" w:hAnsi="仿宋" w:eastAsia="仿宋"/>
        </w:rPr>
      </w:pPr>
      <w:bookmarkStart w:id="231" w:name="_Toc359419380"/>
      <w:bookmarkStart w:id="232" w:name="_Toc23785"/>
      <w:r>
        <w:rPr>
          <w:rFonts w:ascii="仿宋" w:hAnsi="仿宋" w:eastAsia="仿宋"/>
        </w:rPr>
        <w:t>5.1.2预防措施</w:t>
      </w:r>
      <w:bookmarkEnd w:id="231"/>
      <w:bookmarkEnd w:id="232"/>
    </w:p>
    <w:p>
      <w:pPr>
        <w:ind w:leftChars="0" w:right="280" w:firstLine="0" w:firstLineChars="0"/>
        <w:rPr>
          <w:rFonts w:ascii="仿宋" w:hAnsi="仿宋" w:eastAsia="仿宋"/>
          <w:b/>
        </w:rPr>
      </w:pPr>
      <w:r>
        <w:rPr>
          <w:rFonts w:ascii="仿宋" w:hAnsi="仿宋" w:eastAsia="仿宋"/>
          <w:b/>
        </w:rPr>
        <w:t xml:space="preserve">5.1.2.1选址、总图布置和建筑安全防范措施 </w:t>
      </w:r>
    </w:p>
    <w:p>
      <w:pPr>
        <w:pStyle w:val="4"/>
        <w:ind w:firstLine="560"/>
        <w:rPr>
          <w:rFonts w:ascii="仿宋" w:hAnsi="仿宋" w:eastAsia="仿宋"/>
        </w:rPr>
      </w:pPr>
      <w:r>
        <w:rPr>
          <w:rFonts w:ascii="仿宋" w:hAnsi="仿宋" w:eastAsia="仿宋"/>
        </w:rPr>
        <w:t>根据现场勘查，本项目厂址位于</w:t>
      </w:r>
      <w:r>
        <w:rPr>
          <w:rFonts w:hint="eastAsia" w:ascii="仿宋" w:hAnsi="仿宋" w:eastAsia="仿宋"/>
        </w:rPr>
        <w:t>新干县盐化工业城内</w:t>
      </w:r>
      <w:r>
        <w:rPr>
          <w:rFonts w:ascii="仿宋" w:hAnsi="仿宋" w:eastAsia="仿宋"/>
        </w:rPr>
        <w:t>，厂区占地面积为</w:t>
      </w:r>
      <w:r>
        <w:rPr>
          <w:rFonts w:hint="eastAsia" w:ascii="仿宋" w:hAnsi="仿宋" w:eastAsia="仿宋"/>
          <w:lang w:val="en-US" w:eastAsia="zh-CN"/>
        </w:rPr>
        <w:t>47213</w:t>
      </w:r>
      <w:r>
        <w:rPr>
          <w:rFonts w:ascii="仿宋" w:hAnsi="仿宋" w:eastAsia="仿宋"/>
        </w:rPr>
        <w:t>平方米。</w:t>
      </w:r>
    </w:p>
    <w:p>
      <w:pPr>
        <w:pStyle w:val="4"/>
        <w:ind w:firstLine="560"/>
        <w:rPr>
          <w:rFonts w:ascii="仿宋" w:hAnsi="仿宋" w:eastAsia="仿宋"/>
        </w:rPr>
      </w:pPr>
      <w:r>
        <w:rPr>
          <w:rFonts w:ascii="仿宋" w:hAnsi="仿宋" w:eastAsia="仿宋"/>
        </w:rPr>
        <w:t>根据厂区现有构筑物规模和特性</w:t>
      </w:r>
      <w:r>
        <w:rPr>
          <w:rFonts w:hint="eastAsia" w:ascii="仿宋" w:hAnsi="仿宋" w:eastAsia="仿宋"/>
        </w:rPr>
        <w:t>，</w:t>
      </w:r>
      <w:r>
        <w:rPr>
          <w:rFonts w:ascii="仿宋" w:hAnsi="仿宋" w:eastAsia="仿宋"/>
        </w:rPr>
        <w:t>可以起到一定的安全防护和防火作用。</w:t>
      </w:r>
    </w:p>
    <w:p>
      <w:pPr>
        <w:pStyle w:val="4"/>
        <w:ind w:firstLine="560"/>
        <w:rPr>
          <w:rFonts w:ascii="仿宋" w:hAnsi="仿宋" w:eastAsia="仿宋"/>
        </w:rPr>
      </w:pPr>
      <w:r>
        <w:rPr>
          <w:rFonts w:hint="eastAsia" w:ascii="仿宋" w:hAnsi="仿宋" w:eastAsia="仿宋"/>
        </w:rPr>
        <w:t>厂区总平面布置符合防范事故的要求，并有应急救援设施及救援通道。</w:t>
      </w:r>
    </w:p>
    <w:p>
      <w:pPr>
        <w:pStyle w:val="4"/>
        <w:ind w:firstLine="0" w:firstLineChars="0"/>
        <w:rPr>
          <w:rFonts w:ascii="仿宋" w:hAnsi="仿宋" w:eastAsia="仿宋"/>
        </w:rPr>
      </w:pPr>
      <w:r>
        <w:rPr>
          <w:rFonts w:ascii="仿宋" w:hAnsi="仿宋" w:eastAsia="仿宋"/>
          <w:b/>
        </w:rPr>
        <w:t xml:space="preserve">5.1.2.2危险化学品储运安全防范措施 </w:t>
      </w:r>
    </w:p>
    <w:p>
      <w:pPr>
        <w:pStyle w:val="4"/>
        <w:ind w:firstLine="560"/>
        <w:rPr>
          <w:rFonts w:ascii="仿宋" w:hAnsi="仿宋" w:eastAsia="仿宋"/>
        </w:rPr>
      </w:pPr>
      <w:r>
        <w:rPr>
          <w:rFonts w:ascii="仿宋" w:hAnsi="仿宋" w:eastAsia="仿宋"/>
        </w:rPr>
        <w:t>危险货物运输的基本程序及其风险分析见表5</w:t>
      </w:r>
      <w:r>
        <w:rPr>
          <w:rFonts w:hint="eastAsia" w:ascii="仿宋" w:hAnsi="仿宋" w:eastAsia="仿宋"/>
        </w:rPr>
        <w:t>.1</w:t>
      </w:r>
      <w:r>
        <w:rPr>
          <w:rFonts w:ascii="仿宋" w:hAnsi="仿宋" w:eastAsia="仿宋"/>
        </w:rPr>
        <w:t>-</w:t>
      </w:r>
      <w:r>
        <w:rPr>
          <w:rFonts w:hint="eastAsia" w:ascii="仿宋" w:hAnsi="仿宋" w:eastAsia="仿宋"/>
        </w:rPr>
        <w:t>1。、</w:t>
      </w:r>
    </w:p>
    <w:p>
      <w:pPr>
        <w:spacing w:line="500" w:lineRule="exact"/>
        <w:ind w:left="280" w:right="280" w:firstLine="0" w:firstLineChars="0"/>
        <w:jc w:val="center"/>
        <w:rPr>
          <w:rFonts w:ascii="仿宋" w:hAnsi="仿宋" w:eastAsia="仿宋"/>
          <w:b/>
          <w:sz w:val="24"/>
        </w:rPr>
      </w:pPr>
      <w:r>
        <w:rPr>
          <w:rFonts w:ascii="仿宋" w:hAnsi="仿宋" w:eastAsia="仿宋"/>
          <w:b/>
          <w:sz w:val="24"/>
        </w:rPr>
        <w:t>表5</w:t>
      </w:r>
      <w:r>
        <w:rPr>
          <w:rFonts w:hint="eastAsia" w:ascii="仿宋" w:hAnsi="仿宋" w:eastAsia="仿宋"/>
          <w:b/>
          <w:sz w:val="24"/>
        </w:rPr>
        <w:t>.1</w:t>
      </w:r>
      <w:r>
        <w:rPr>
          <w:rFonts w:ascii="仿宋" w:hAnsi="仿宋" w:eastAsia="仿宋"/>
          <w:b/>
          <w:sz w:val="24"/>
        </w:rPr>
        <w:t>-</w:t>
      </w:r>
      <w:r>
        <w:rPr>
          <w:rFonts w:hint="eastAsia" w:ascii="仿宋" w:hAnsi="仿宋" w:eastAsia="仿宋"/>
          <w:b/>
          <w:sz w:val="24"/>
        </w:rPr>
        <w:t xml:space="preserve">1  </w:t>
      </w:r>
      <w:r>
        <w:rPr>
          <w:rFonts w:ascii="仿宋" w:hAnsi="仿宋" w:eastAsia="仿宋"/>
          <w:b/>
          <w:sz w:val="24"/>
        </w:rPr>
        <w:t>运输过程风险分析</w:t>
      </w:r>
    </w:p>
    <w:tbl>
      <w:tblPr>
        <w:tblStyle w:val="39"/>
        <w:tblW w:w="928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3"/>
        <w:gridCol w:w="993"/>
        <w:gridCol w:w="2186"/>
        <w:gridCol w:w="1788"/>
        <w:gridCol w:w="3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jc w:val="center"/>
        </w:trPr>
        <w:tc>
          <w:tcPr>
            <w:tcW w:w="863" w:type="dxa"/>
            <w:shd w:val="clear" w:color="auto" w:fill="auto"/>
            <w:vAlign w:val="center"/>
          </w:tcPr>
          <w:p>
            <w:pPr>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序号</w:t>
            </w:r>
          </w:p>
        </w:tc>
        <w:tc>
          <w:tcPr>
            <w:tcW w:w="993" w:type="dxa"/>
            <w:shd w:val="clear" w:color="auto" w:fill="auto"/>
            <w:vAlign w:val="center"/>
          </w:tcPr>
          <w:p>
            <w:pPr>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过程</w:t>
            </w:r>
          </w:p>
        </w:tc>
        <w:tc>
          <w:tcPr>
            <w:tcW w:w="2186" w:type="dxa"/>
            <w:shd w:val="clear" w:color="auto" w:fill="auto"/>
            <w:vAlign w:val="center"/>
          </w:tcPr>
          <w:p>
            <w:pPr>
              <w:adjustRightInd w:val="0"/>
              <w:snapToGrid w:val="0"/>
              <w:spacing w:line="280" w:lineRule="exact"/>
              <w:ind w:left="0" w:leftChars="0" w:right="0" w:rightChars="0" w:firstLine="199" w:firstLineChars="95"/>
              <w:jc w:val="center"/>
              <w:rPr>
                <w:rFonts w:ascii="仿宋" w:hAnsi="仿宋" w:eastAsia="仿宋"/>
                <w:sz w:val="21"/>
                <w:szCs w:val="21"/>
              </w:rPr>
            </w:pPr>
            <w:r>
              <w:rPr>
                <w:rFonts w:ascii="仿宋" w:hAnsi="仿宋" w:eastAsia="仿宋"/>
                <w:sz w:val="21"/>
                <w:szCs w:val="21"/>
              </w:rPr>
              <w:t>项目</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风险类型</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风险分析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8" w:hRule="atLeast"/>
          <w:jc w:val="center"/>
        </w:trPr>
        <w:tc>
          <w:tcPr>
            <w:tcW w:w="863" w:type="dxa"/>
            <w:vMerge w:val="restart"/>
            <w:shd w:val="clear" w:color="auto" w:fill="auto"/>
            <w:vAlign w:val="center"/>
          </w:tcPr>
          <w:p>
            <w:pPr>
              <w:spacing w:line="280" w:lineRule="exact"/>
              <w:ind w:left="0" w:leftChars="0" w:right="0" w:rightChars="0" w:firstLine="420"/>
              <w:jc w:val="center"/>
              <w:rPr>
                <w:rFonts w:ascii="仿宋" w:hAnsi="仿宋" w:eastAsia="仿宋"/>
                <w:sz w:val="21"/>
                <w:szCs w:val="21"/>
              </w:rPr>
            </w:pPr>
            <w:r>
              <w:rPr>
                <w:rFonts w:ascii="仿宋" w:hAnsi="仿宋" w:eastAsia="仿宋"/>
                <w:sz w:val="21"/>
                <w:szCs w:val="21"/>
              </w:rPr>
              <w:t>1</w:t>
            </w:r>
          </w:p>
        </w:tc>
        <w:tc>
          <w:tcPr>
            <w:tcW w:w="993" w:type="dxa"/>
            <w:vMerge w:val="restart"/>
            <w:shd w:val="clear" w:color="auto" w:fill="auto"/>
            <w:vAlign w:val="center"/>
          </w:tcPr>
          <w:p>
            <w:pPr>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包装</w:t>
            </w: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爆炸品专用包装</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火灾</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反应速度快、释放热量和气体污染物、财产损失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 w:hRule="atLeast"/>
          <w:jc w:val="center"/>
        </w:trPr>
        <w:tc>
          <w:tcPr>
            <w:tcW w:w="86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99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腐蚀性物品包装</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环境危害</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水体污染、土壤污染和生态污染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jc w:val="center"/>
        </w:trPr>
        <w:tc>
          <w:tcPr>
            <w:tcW w:w="863" w:type="dxa"/>
            <w:vMerge w:val="restart"/>
            <w:shd w:val="clear" w:color="auto" w:fill="auto"/>
            <w:vAlign w:val="center"/>
          </w:tcPr>
          <w:p>
            <w:pPr>
              <w:spacing w:line="280" w:lineRule="exact"/>
              <w:ind w:left="0" w:leftChars="0" w:right="0" w:rightChars="0" w:firstLine="420"/>
              <w:jc w:val="center"/>
              <w:rPr>
                <w:rFonts w:ascii="仿宋" w:hAnsi="仿宋" w:eastAsia="仿宋"/>
                <w:sz w:val="21"/>
                <w:szCs w:val="21"/>
              </w:rPr>
            </w:pPr>
            <w:r>
              <w:rPr>
                <w:rFonts w:ascii="仿宋" w:hAnsi="仿宋" w:eastAsia="仿宋"/>
                <w:sz w:val="21"/>
                <w:szCs w:val="21"/>
              </w:rPr>
              <w:t>2</w:t>
            </w:r>
          </w:p>
        </w:tc>
        <w:tc>
          <w:tcPr>
            <w:tcW w:w="993" w:type="dxa"/>
            <w:vMerge w:val="restart"/>
            <w:shd w:val="clear" w:color="auto" w:fill="auto"/>
            <w:vAlign w:val="center"/>
          </w:tcPr>
          <w:p>
            <w:pPr>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运输</w:t>
            </w: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物品危险品法规</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重大风险事故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 w:hRule="atLeast"/>
          <w:jc w:val="center"/>
        </w:trPr>
        <w:tc>
          <w:tcPr>
            <w:tcW w:w="86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99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运输包装法规</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重大风险事故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 w:hRule="atLeast"/>
          <w:jc w:val="center"/>
        </w:trPr>
        <w:tc>
          <w:tcPr>
            <w:tcW w:w="86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99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运输包装标准法规</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重大风险事故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jc w:val="center"/>
        </w:trPr>
        <w:tc>
          <w:tcPr>
            <w:tcW w:w="863" w:type="dxa"/>
            <w:vMerge w:val="restart"/>
            <w:shd w:val="clear" w:color="auto" w:fill="auto"/>
            <w:vAlign w:val="center"/>
          </w:tcPr>
          <w:p>
            <w:pPr>
              <w:spacing w:line="280" w:lineRule="exact"/>
              <w:ind w:left="0" w:leftChars="0" w:right="0" w:rightChars="0" w:firstLine="420"/>
              <w:jc w:val="center"/>
              <w:rPr>
                <w:rFonts w:ascii="仿宋" w:hAnsi="仿宋" w:eastAsia="仿宋"/>
                <w:sz w:val="21"/>
                <w:szCs w:val="21"/>
              </w:rPr>
            </w:pPr>
            <w:r>
              <w:rPr>
                <w:rFonts w:ascii="仿宋" w:hAnsi="仿宋" w:eastAsia="仿宋"/>
                <w:sz w:val="21"/>
                <w:szCs w:val="21"/>
              </w:rPr>
              <w:t>3</w:t>
            </w:r>
          </w:p>
        </w:tc>
        <w:tc>
          <w:tcPr>
            <w:tcW w:w="993" w:type="dxa"/>
            <w:vMerge w:val="restart"/>
            <w:shd w:val="clear" w:color="auto" w:fill="auto"/>
            <w:vAlign w:val="center"/>
          </w:tcPr>
          <w:p>
            <w:pPr>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装卸</w:t>
            </w: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爆炸品专用包装类</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火灾</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反应速度快、释放热量和气体污染物、财产损失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 w:hRule="atLeast"/>
          <w:jc w:val="center"/>
        </w:trPr>
        <w:tc>
          <w:tcPr>
            <w:tcW w:w="86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99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气瓶包装类</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火灾</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反应速度快、释放热量和气体污染物、财产损失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 w:hRule="atLeast"/>
          <w:jc w:val="center"/>
        </w:trPr>
        <w:tc>
          <w:tcPr>
            <w:tcW w:w="86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993" w:type="dxa"/>
            <w:vMerge w:val="continue"/>
            <w:shd w:val="clear" w:color="auto" w:fill="auto"/>
            <w:vAlign w:val="center"/>
          </w:tcPr>
          <w:p>
            <w:pPr>
              <w:spacing w:line="280" w:lineRule="exact"/>
              <w:ind w:left="0" w:leftChars="0" w:right="0" w:rightChars="0" w:firstLine="420"/>
              <w:jc w:val="center"/>
              <w:rPr>
                <w:rFonts w:ascii="仿宋" w:hAnsi="仿宋" w:eastAsia="仿宋"/>
                <w:sz w:val="21"/>
                <w:szCs w:val="21"/>
              </w:rPr>
            </w:pPr>
          </w:p>
        </w:tc>
        <w:tc>
          <w:tcPr>
            <w:tcW w:w="2186"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腐蚀性物品包装类</w:t>
            </w:r>
          </w:p>
        </w:tc>
        <w:tc>
          <w:tcPr>
            <w:tcW w:w="178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环境危害</w:t>
            </w:r>
          </w:p>
        </w:tc>
        <w:tc>
          <w:tcPr>
            <w:tcW w:w="3458" w:type="dxa"/>
            <w:shd w:val="clear" w:color="auto" w:fill="auto"/>
            <w:vAlign w:val="center"/>
          </w:tcPr>
          <w:p>
            <w:pPr>
              <w:adjustRightInd w:val="0"/>
              <w:snapToGrid w:val="0"/>
              <w:spacing w:line="280" w:lineRule="exact"/>
              <w:ind w:left="0" w:leftChars="0" w:right="0" w:rightChars="0" w:firstLine="0" w:firstLineChars="0"/>
              <w:jc w:val="center"/>
              <w:rPr>
                <w:rFonts w:ascii="仿宋" w:hAnsi="仿宋" w:eastAsia="仿宋"/>
                <w:sz w:val="21"/>
                <w:szCs w:val="21"/>
              </w:rPr>
            </w:pPr>
            <w:r>
              <w:rPr>
                <w:rFonts w:ascii="仿宋" w:hAnsi="仿宋" w:eastAsia="仿宋"/>
                <w:sz w:val="21"/>
                <w:szCs w:val="21"/>
              </w:rPr>
              <w:t>水体污染、土壤污染和生态污染</w:t>
            </w:r>
          </w:p>
        </w:tc>
      </w:tr>
    </w:tbl>
    <w:p>
      <w:pPr>
        <w:spacing w:line="500" w:lineRule="exact"/>
        <w:ind w:left="0" w:leftChars="0" w:right="0" w:rightChars="0" w:firstLine="560"/>
        <w:rPr>
          <w:rFonts w:ascii="仿宋" w:hAnsi="仿宋" w:eastAsia="仿宋"/>
          <w:b/>
          <w:sz w:val="24"/>
        </w:rPr>
      </w:pPr>
      <w:r>
        <w:t>本项目危险化学品主要包括</w:t>
      </w:r>
      <w:r>
        <w:rPr>
          <w:rFonts w:hint="eastAsia"/>
          <w:lang w:eastAsia="zh-CN"/>
        </w:rPr>
        <w:t>氯化锌、</w:t>
      </w:r>
      <w:r>
        <w:rPr>
          <w:rFonts w:hint="eastAsia"/>
        </w:rPr>
        <w:t>盐酸、硫酸、</w:t>
      </w:r>
      <w:r>
        <w:rPr>
          <w:rFonts w:hint="eastAsia"/>
          <w:lang w:eastAsia="zh-CN"/>
        </w:rPr>
        <w:t>双氧水、氯酸钾</w:t>
      </w:r>
      <w:r>
        <w:t>等。在运输及储存过程中防范措施见表5</w:t>
      </w:r>
      <w:r>
        <w:rPr>
          <w:rFonts w:hint="eastAsia"/>
        </w:rPr>
        <w:t>.1</w:t>
      </w:r>
      <w:r>
        <w:t>-</w:t>
      </w:r>
      <w:r>
        <w:rPr>
          <w:rFonts w:hint="eastAsia"/>
        </w:rPr>
        <w:t>2。</w:t>
      </w:r>
    </w:p>
    <w:p>
      <w:pPr>
        <w:pStyle w:val="17"/>
        <w:spacing w:line="500" w:lineRule="exact"/>
        <w:ind w:left="0" w:leftChars="0" w:right="0" w:rightChars="0" w:firstLine="0" w:firstLineChars="0"/>
        <w:jc w:val="center"/>
        <w:rPr>
          <w:rFonts w:ascii="仿宋" w:hAnsi="仿宋" w:eastAsia="仿宋"/>
          <w:b/>
          <w:sz w:val="24"/>
          <w:szCs w:val="24"/>
          <w:highlight w:val="none"/>
        </w:rPr>
      </w:pPr>
      <w:r>
        <w:rPr>
          <w:rFonts w:ascii="仿宋" w:hAnsi="仿宋" w:eastAsia="仿宋"/>
          <w:b/>
          <w:sz w:val="24"/>
          <w:szCs w:val="24"/>
          <w:highlight w:val="none"/>
        </w:rPr>
        <w:t>表5</w:t>
      </w:r>
      <w:r>
        <w:rPr>
          <w:rFonts w:hint="eastAsia" w:ascii="仿宋" w:hAnsi="仿宋" w:eastAsia="仿宋"/>
          <w:b/>
          <w:sz w:val="24"/>
          <w:szCs w:val="24"/>
          <w:highlight w:val="none"/>
        </w:rPr>
        <w:t>.1</w:t>
      </w:r>
      <w:r>
        <w:rPr>
          <w:rFonts w:ascii="仿宋" w:hAnsi="仿宋" w:eastAsia="仿宋"/>
          <w:b/>
          <w:sz w:val="24"/>
          <w:szCs w:val="24"/>
          <w:highlight w:val="none"/>
        </w:rPr>
        <w:t>-</w:t>
      </w:r>
      <w:r>
        <w:rPr>
          <w:rFonts w:hint="eastAsia" w:ascii="仿宋" w:hAnsi="仿宋" w:eastAsia="仿宋"/>
          <w:b/>
          <w:sz w:val="24"/>
          <w:szCs w:val="24"/>
          <w:highlight w:val="none"/>
        </w:rPr>
        <w:t xml:space="preserve">2  </w:t>
      </w:r>
      <w:r>
        <w:rPr>
          <w:rFonts w:ascii="仿宋" w:hAnsi="仿宋" w:eastAsia="仿宋"/>
          <w:b/>
          <w:sz w:val="24"/>
          <w:szCs w:val="24"/>
          <w:highlight w:val="none"/>
        </w:rPr>
        <w:t>危险化学品运输及储存过程中防范措施</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5850"/>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shd w:val="clear" w:color="auto" w:fill="auto"/>
            <w:vAlign w:val="center"/>
          </w:tcPr>
          <w:p>
            <w:pPr>
              <w:ind w:left="0" w:leftChars="0" w:right="0" w:rightChars="0" w:firstLine="0" w:firstLineChars="0"/>
              <w:jc w:val="center"/>
              <w:rPr>
                <w:sz w:val="21"/>
                <w:szCs w:val="21"/>
              </w:rPr>
            </w:pPr>
            <w:r>
              <w:rPr>
                <w:sz w:val="21"/>
                <w:szCs w:val="21"/>
              </w:rPr>
              <w:t>名称</w:t>
            </w:r>
          </w:p>
        </w:tc>
        <w:tc>
          <w:tcPr>
            <w:tcW w:w="5850" w:type="dxa"/>
            <w:shd w:val="clear" w:color="auto" w:fill="auto"/>
            <w:vAlign w:val="center"/>
          </w:tcPr>
          <w:p>
            <w:pPr>
              <w:ind w:left="0" w:leftChars="0" w:right="0" w:rightChars="0" w:firstLine="0" w:firstLineChars="0"/>
              <w:jc w:val="center"/>
              <w:rPr>
                <w:sz w:val="21"/>
                <w:szCs w:val="21"/>
              </w:rPr>
            </w:pPr>
            <w:r>
              <w:rPr>
                <w:sz w:val="21"/>
                <w:szCs w:val="21"/>
              </w:rPr>
              <w:t>运输过程</w:t>
            </w:r>
          </w:p>
        </w:tc>
        <w:tc>
          <w:tcPr>
            <w:tcW w:w="2327" w:type="dxa"/>
            <w:shd w:val="clear" w:color="auto" w:fill="auto"/>
            <w:vAlign w:val="center"/>
          </w:tcPr>
          <w:p>
            <w:pPr>
              <w:ind w:left="0" w:leftChars="0" w:right="0" w:rightChars="0" w:firstLine="0" w:firstLineChars="0"/>
              <w:jc w:val="center"/>
              <w:rPr>
                <w:sz w:val="21"/>
                <w:szCs w:val="21"/>
              </w:rPr>
            </w:pPr>
            <w:r>
              <w:rPr>
                <w:sz w:val="21"/>
                <w:szCs w:val="21"/>
              </w:rPr>
              <w:t>存储要求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shd w:val="clear" w:color="auto" w:fill="auto"/>
            <w:vAlign w:val="center"/>
          </w:tcPr>
          <w:p>
            <w:pPr>
              <w:pStyle w:val="17"/>
              <w:spacing w:line="240" w:lineRule="auto"/>
              <w:ind w:left="0" w:leftChars="0" w:right="0" w:rightChars="0" w:firstLine="0" w:firstLineChars="0"/>
              <w:jc w:val="center"/>
              <w:rPr>
                <w:sz w:val="21"/>
                <w:szCs w:val="21"/>
              </w:rPr>
            </w:pPr>
            <w:r>
              <w:rPr>
                <w:rFonts w:hint="eastAsia" w:ascii="仿宋" w:hAnsi="仿宋" w:eastAsia="仿宋"/>
                <w:sz w:val="21"/>
                <w:szCs w:val="21"/>
              </w:rPr>
              <w:t>盐酸</w:t>
            </w:r>
          </w:p>
        </w:tc>
        <w:tc>
          <w:tcPr>
            <w:tcW w:w="5850" w:type="dxa"/>
            <w:shd w:val="clear" w:color="auto" w:fill="auto"/>
            <w:vAlign w:val="center"/>
          </w:tcPr>
          <w:p>
            <w:pPr>
              <w:pStyle w:val="17"/>
              <w:spacing w:line="240" w:lineRule="auto"/>
              <w:ind w:left="0" w:leftChars="0" w:right="0" w:rightChars="0" w:firstLine="420"/>
              <w:rPr>
                <w:rFonts w:ascii="仿宋" w:hAnsi="仿宋" w:eastAsia="仿宋"/>
                <w:sz w:val="21"/>
                <w:szCs w:val="21"/>
              </w:rPr>
            </w:pPr>
            <w:r>
              <w:rPr>
                <w:rFonts w:ascii="仿宋" w:hAnsi="仿宋" w:eastAsia="仿宋"/>
                <w:sz w:val="21"/>
                <w:szCs w:val="21"/>
              </w:rPr>
              <w:t>危险货物编号：81013</w:t>
            </w:r>
          </w:p>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CAS</w:t>
            </w:r>
            <w:r>
              <w:rPr>
                <w:rFonts w:ascii="仿宋" w:hAnsi="仿宋" w:eastAsia="仿宋"/>
                <w:sz w:val="21"/>
                <w:szCs w:val="21"/>
              </w:rPr>
              <w:t>编号：</w:t>
            </w:r>
            <w:r>
              <w:rPr>
                <w:rFonts w:hint="eastAsia" w:ascii="仿宋" w:hAnsi="仿宋" w:eastAsia="仿宋"/>
                <w:sz w:val="21"/>
                <w:szCs w:val="21"/>
              </w:rPr>
              <w:t>7647-01-0</w:t>
            </w:r>
          </w:p>
          <w:p>
            <w:pPr>
              <w:pStyle w:val="17"/>
              <w:spacing w:line="240" w:lineRule="auto"/>
              <w:ind w:left="0" w:leftChars="0" w:right="0" w:rightChars="0" w:firstLine="420"/>
              <w:rPr>
                <w:rFonts w:ascii="仿宋" w:hAnsi="仿宋" w:eastAsia="仿宋"/>
                <w:sz w:val="21"/>
                <w:szCs w:val="21"/>
              </w:rPr>
            </w:pPr>
            <w:r>
              <w:rPr>
                <w:rFonts w:ascii="仿宋" w:hAnsi="仿宋" w:eastAsia="仿宋"/>
                <w:sz w:val="21"/>
                <w:szCs w:val="21"/>
              </w:rPr>
              <w:t>包装标志：</w:t>
            </w:r>
            <w:r>
              <w:rPr>
                <w:rFonts w:hint="eastAsia" w:ascii="仿宋" w:hAnsi="仿宋" w:eastAsia="仿宋"/>
                <w:sz w:val="21"/>
                <w:szCs w:val="21"/>
              </w:rPr>
              <w:t>腐蚀品</w:t>
            </w:r>
          </w:p>
          <w:p>
            <w:pPr>
              <w:pStyle w:val="17"/>
              <w:spacing w:line="240" w:lineRule="auto"/>
              <w:ind w:left="0" w:leftChars="0" w:right="0" w:rightChars="0" w:firstLine="420"/>
              <w:rPr>
                <w:rFonts w:ascii="仿宋" w:hAnsi="仿宋" w:eastAsia="仿宋"/>
                <w:sz w:val="21"/>
                <w:szCs w:val="21"/>
              </w:rPr>
            </w:pPr>
            <w:r>
              <w:rPr>
                <w:rFonts w:ascii="仿宋" w:hAnsi="仿宋" w:eastAsia="仿宋"/>
                <w:sz w:val="21"/>
                <w:szCs w:val="21"/>
              </w:rPr>
              <w:t>包装方法：</w:t>
            </w:r>
            <w:r>
              <w:rPr>
                <w:rFonts w:hint="eastAsia" w:ascii="仿宋" w:hAnsi="仿宋" w:eastAsia="仿宋"/>
                <w:sz w:val="21"/>
                <w:szCs w:val="21"/>
              </w:rPr>
              <w:t>耐酸坛或陶瓷瓶外普通木箱或半花格木箱；玻璃瓶或塑料桶（罐）外普通木箱或半花格木箱；磨砂口玻璃瓶或螺纹口玻璃瓶外普通木箱；螺纹口玻璃瓶、铁盖压口玻璃瓶、塑料瓶或金属桶（罐）外普通木箱。</w:t>
            </w:r>
          </w:p>
          <w:p>
            <w:pPr>
              <w:pStyle w:val="17"/>
              <w:spacing w:line="240" w:lineRule="auto"/>
              <w:ind w:left="0" w:leftChars="0" w:right="0" w:rightChars="0" w:firstLine="420"/>
              <w:rPr>
                <w:sz w:val="21"/>
                <w:szCs w:val="21"/>
              </w:rPr>
            </w:pPr>
            <w:r>
              <w:rPr>
                <w:rFonts w:ascii="仿宋" w:hAnsi="仿宋" w:eastAsia="仿宋"/>
                <w:sz w:val="21"/>
                <w:szCs w:val="21"/>
              </w:rPr>
              <w:t>运输注意事项：</w:t>
            </w:r>
            <w:r>
              <w:rPr>
                <w:rFonts w:hint="eastAsia" w:ascii="仿宋" w:hAnsi="仿宋" w:eastAsia="仿宋"/>
                <w:sz w:val="21"/>
                <w:szCs w:val="21"/>
                <w:lang w:val="en-GB"/>
              </w:rPr>
              <w:t>本品铁路运输时限使用有像胶衬里钢制罐车或特制塑料企业自备罐车装运，装运前需报有关部门批准。铁路运输时应严格按照铁道部《危险货物运输规则》中的危险货物配装表进行配装。起运时包装要完整，装载应稳妥。运输过程中要确保容器不泄漏、不倒塌、不坠落、不损坏。严禁与碱类、胺类、碱金属、易燃物或可燃物、食用化学品等混装混运。运输时运输车辆应配备泄漏应急处理设备。运输途中应防曝晒、雨淋，防高温。公路运输时要按规定路线行驶，勿在居民区和人口稠密区停留。</w:t>
            </w:r>
          </w:p>
        </w:tc>
        <w:tc>
          <w:tcPr>
            <w:tcW w:w="2327" w:type="dxa"/>
            <w:shd w:val="clear" w:color="auto" w:fill="auto"/>
            <w:vAlign w:val="center"/>
          </w:tcPr>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储存于阴凉、通风的库房。库温不超过30℃，相对湿度不超过85％。保持容器密封。应与碱类、胺类、碱金属、易（可）燃物分开存放，切忌混储。储区应备有泄漏应急处理设备和合适的收容材料。</w:t>
            </w:r>
          </w:p>
          <w:p>
            <w:pPr>
              <w:pStyle w:val="17"/>
              <w:spacing w:line="240" w:lineRule="auto"/>
              <w:ind w:left="0" w:leftChars="0" w:right="0" w:rightChars="0" w:firstLine="42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shd w:val="clear" w:color="auto" w:fill="auto"/>
            <w:vAlign w:val="center"/>
          </w:tcPr>
          <w:p>
            <w:pPr>
              <w:pStyle w:val="17"/>
              <w:spacing w:line="240" w:lineRule="auto"/>
              <w:ind w:left="0" w:leftChars="0" w:right="0" w:rightChars="0" w:firstLine="0" w:firstLineChars="0"/>
              <w:jc w:val="center"/>
              <w:rPr>
                <w:sz w:val="21"/>
                <w:szCs w:val="21"/>
              </w:rPr>
            </w:pPr>
            <w:r>
              <w:rPr>
                <w:rFonts w:hint="eastAsia" w:ascii="仿宋" w:hAnsi="仿宋" w:eastAsia="仿宋"/>
                <w:sz w:val="21"/>
                <w:szCs w:val="21"/>
              </w:rPr>
              <w:t>硫酸</w:t>
            </w:r>
          </w:p>
        </w:tc>
        <w:tc>
          <w:tcPr>
            <w:tcW w:w="5850" w:type="dxa"/>
            <w:shd w:val="clear" w:color="auto" w:fill="auto"/>
            <w:vAlign w:val="center"/>
          </w:tcPr>
          <w:p>
            <w:pPr>
              <w:pStyle w:val="17"/>
              <w:spacing w:line="240" w:lineRule="auto"/>
              <w:ind w:left="0" w:leftChars="0" w:right="0" w:rightChars="0" w:firstLine="420"/>
              <w:rPr>
                <w:rFonts w:ascii="仿宋" w:hAnsi="仿宋" w:eastAsia="仿宋"/>
                <w:sz w:val="21"/>
                <w:szCs w:val="21"/>
              </w:rPr>
            </w:pPr>
            <w:r>
              <w:rPr>
                <w:rFonts w:ascii="仿宋" w:hAnsi="仿宋" w:eastAsia="仿宋"/>
                <w:sz w:val="21"/>
                <w:szCs w:val="21"/>
              </w:rPr>
              <w:t>危险货物编号：81007</w:t>
            </w:r>
          </w:p>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CAS</w:t>
            </w:r>
            <w:r>
              <w:rPr>
                <w:rFonts w:ascii="仿宋" w:hAnsi="仿宋" w:eastAsia="仿宋"/>
                <w:sz w:val="21"/>
                <w:szCs w:val="21"/>
              </w:rPr>
              <w:t>编号：</w:t>
            </w:r>
            <w:r>
              <w:rPr>
                <w:rFonts w:hint="eastAsia" w:ascii="仿宋" w:hAnsi="仿宋" w:eastAsia="仿宋"/>
                <w:sz w:val="21"/>
                <w:szCs w:val="21"/>
              </w:rPr>
              <w:t>7664-93-9</w:t>
            </w:r>
          </w:p>
          <w:p>
            <w:pPr>
              <w:pStyle w:val="17"/>
              <w:spacing w:line="240" w:lineRule="auto"/>
              <w:ind w:left="0" w:leftChars="0" w:right="0" w:rightChars="0" w:firstLine="420"/>
              <w:rPr>
                <w:rFonts w:ascii="仿宋" w:hAnsi="仿宋" w:eastAsia="仿宋"/>
                <w:sz w:val="21"/>
                <w:szCs w:val="21"/>
              </w:rPr>
            </w:pPr>
            <w:r>
              <w:rPr>
                <w:rFonts w:ascii="仿宋" w:hAnsi="仿宋" w:eastAsia="仿宋"/>
                <w:sz w:val="21"/>
                <w:szCs w:val="21"/>
              </w:rPr>
              <w:t>包装标志：腐蚀品</w:t>
            </w:r>
          </w:p>
          <w:p>
            <w:pPr>
              <w:pStyle w:val="17"/>
              <w:spacing w:line="240" w:lineRule="auto"/>
              <w:ind w:left="0" w:leftChars="0" w:right="0" w:rightChars="0" w:firstLine="420"/>
              <w:rPr>
                <w:rFonts w:ascii="仿宋" w:hAnsi="仿宋" w:eastAsia="仿宋"/>
                <w:sz w:val="21"/>
                <w:szCs w:val="21"/>
                <w:lang w:val="en-GB"/>
              </w:rPr>
            </w:pPr>
            <w:r>
              <w:rPr>
                <w:rFonts w:ascii="仿宋" w:hAnsi="仿宋" w:eastAsia="仿宋"/>
                <w:sz w:val="21"/>
                <w:szCs w:val="21"/>
              </w:rPr>
              <w:t>包装方法：</w:t>
            </w:r>
            <w:r>
              <w:rPr>
                <w:rFonts w:hint="eastAsia" w:ascii="仿宋" w:hAnsi="仿宋" w:eastAsia="仿宋"/>
                <w:sz w:val="21"/>
                <w:szCs w:val="21"/>
                <w:lang w:val="en-GB"/>
              </w:rPr>
              <w:t>耐酸坛或陶瓷瓶外普通木箱或半花格木箱；磨砂口玻璃瓶或螺纹口玻璃瓶外普通木箱。</w:t>
            </w:r>
          </w:p>
          <w:p>
            <w:pPr>
              <w:pStyle w:val="17"/>
              <w:spacing w:line="240" w:lineRule="auto"/>
              <w:ind w:left="0" w:leftChars="0" w:right="0" w:rightChars="0" w:firstLine="420"/>
              <w:rPr>
                <w:sz w:val="21"/>
                <w:szCs w:val="21"/>
              </w:rPr>
            </w:pPr>
            <w:r>
              <w:rPr>
                <w:rFonts w:ascii="仿宋" w:hAnsi="仿宋" w:eastAsia="仿宋"/>
                <w:sz w:val="21"/>
                <w:szCs w:val="21"/>
              </w:rPr>
              <w:t>运输注意事项：</w:t>
            </w:r>
            <w:r>
              <w:rPr>
                <w:rFonts w:hint="eastAsia" w:ascii="仿宋" w:hAnsi="仿宋" w:eastAsia="仿宋"/>
                <w:sz w:val="21"/>
                <w:szCs w:val="21"/>
              </w:rPr>
              <w:t>本品铁路运输时限使用钢制企业自备罐车装运，装运前需报有关部门批准。铁路非罐装运输时应严格按照铁道部《危险货物运输规则》中的危险货物配装表进行配装。起运时包装要完整，装载应稳妥。运输过程中要确保容器不泄漏、不倒塌、不坠落、不损坏。严禁与易燃物或可燃物、还原剂、碱类、碱金属、食用化学品等混装混运。运输时运输车辆应配备泄漏应急处理设备。运输途中应防曝晒、雨淋，防高温。公路运输时要按规定路线行驶，勿在居民区和人口稠密区停留。</w:t>
            </w:r>
          </w:p>
        </w:tc>
        <w:tc>
          <w:tcPr>
            <w:tcW w:w="2327" w:type="dxa"/>
            <w:shd w:val="clear" w:color="auto" w:fill="auto"/>
            <w:vAlign w:val="center"/>
          </w:tcPr>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储存于阴凉、通风的库房。库温不超过35℃，相对湿度不超过85％。保持容器密封。应与易（可）燃物、还原剂、碱类、碱金属、食用化学品分开存放，切忌混储。储区应备有泄漏应急处理设备和合适的收容材料。</w:t>
            </w:r>
          </w:p>
          <w:p>
            <w:pPr>
              <w:pStyle w:val="17"/>
              <w:spacing w:line="240" w:lineRule="auto"/>
              <w:ind w:left="0" w:leftChars="0" w:right="0" w:rightChars="0"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shd w:val="clear" w:color="auto" w:fill="auto"/>
            <w:vAlign w:val="center"/>
          </w:tcPr>
          <w:p>
            <w:pPr>
              <w:pStyle w:val="21"/>
              <w:ind w:left="0" w:leftChars="0" w:right="0" w:rightChars="0" w:firstLine="0" w:firstLineChars="0"/>
              <w:jc w:val="center"/>
              <w:rPr>
                <w:sz w:val="21"/>
                <w:szCs w:val="21"/>
              </w:rPr>
            </w:pPr>
            <w:r>
              <w:rPr>
                <w:rFonts w:hint="eastAsia" w:ascii="仿宋" w:hAnsi="仿宋" w:eastAsia="仿宋"/>
                <w:kern w:val="0"/>
                <w:sz w:val="21"/>
                <w:szCs w:val="21"/>
              </w:rPr>
              <w:t>双氧水</w:t>
            </w:r>
          </w:p>
        </w:tc>
        <w:tc>
          <w:tcPr>
            <w:tcW w:w="5850" w:type="dxa"/>
            <w:shd w:val="clear" w:color="auto" w:fill="auto"/>
            <w:vAlign w:val="center"/>
          </w:tcPr>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危险货物编号：</w:t>
            </w:r>
            <w:r>
              <w:rPr>
                <w:rFonts w:ascii="仿宋" w:hAnsi="仿宋" w:eastAsia="仿宋"/>
                <w:sz w:val="21"/>
                <w:szCs w:val="21"/>
              </w:rPr>
              <w:t>81501</w:t>
            </w:r>
          </w:p>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CAS</w:t>
            </w:r>
            <w:r>
              <w:rPr>
                <w:rFonts w:ascii="仿宋" w:hAnsi="仿宋" w:eastAsia="仿宋"/>
                <w:sz w:val="21"/>
                <w:szCs w:val="21"/>
              </w:rPr>
              <w:t>编号：</w:t>
            </w:r>
            <w:r>
              <w:rPr>
                <w:rFonts w:hint="eastAsia" w:ascii="仿宋" w:hAnsi="仿宋" w:eastAsia="仿宋"/>
                <w:sz w:val="21"/>
                <w:szCs w:val="21"/>
              </w:rPr>
              <w:t>7722-84-1</w:t>
            </w:r>
          </w:p>
          <w:p>
            <w:pPr>
              <w:pStyle w:val="17"/>
              <w:spacing w:line="240" w:lineRule="auto"/>
              <w:ind w:left="0" w:leftChars="0" w:right="0" w:rightChars="0" w:firstLine="420"/>
              <w:rPr>
                <w:rFonts w:ascii="仿宋" w:hAnsi="仿宋" w:eastAsia="仿宋"/>
                <w:sz w:val="21"/>
                <w:szCs w:val="21"/>
              </w:rPr>
            </w:pPr>
            <w:r>
              <w:rPr>
                <w:rFonts w:hint="eastAsia" w:ascii="仿宋" w:hAnsi="仿宋" w:eastAsia="仿宋"/>
                <w:sz w:val="21"/>
                <w:szCs w:val="21"/>
              </w:rPr>
              <w:t>包装标志：腐蚀品</w:t>
            </w:r>
          </w:p>
          <w:p>
            <w:pPr>
              <w:pStyle w:val="17"/>
              <w:spacing w:line="240" w:lineRule="auto"/>
              <w:ind w:left="0" w:leftChars="0" w:right="0" w:rightChars="0" w:firstLine="420"/>
              <w:rPr>
                <w:sz w:val="21"/>
                <w:szCs w:val="21"/>
              </w:rPr>
            </w:pPr>
            <w:r>
              <w:rPr>
                <w:rFonts w:hint="eastAsia" w:ascii="仿宋" w:hAnsi="仿宋" w:eastAsia="仿宋"/>
                <w:sz w:val="21"/>
                <w:szCs w:val="21"/>
              </w:rPr>
              <w:t>包装方法：大包装：塑料桶（罐），容器上部应有减压阀或通气口，容器内至少有10%余量，每桶（罐）净重不超过50公斤。试剂包装：塑料瓶，再单个装入塑料袋内，合装在钙塑箱内。</w:t>
            </w:r>
          </w:p>
        </w:tc>
        <w:tc>
          <w:tcPr>
            <w:tcW w:w="2327" w:type="dxa"/>
            <w:shd w:val="clear" w:color="auto" w:fill="auto"/>
            <w:vAlign w:val="center"/>
          </w:tcPr>
          <w:p>
            <w:pPr>
              <w:pStyle w:val="17"/>
              <w:spacing w:line="240" w:lineRule="auto"/>
              <w:ind w:left="0" w:leftChars="0" w:right="0" w:rightChars="0" w:firstLine="420"/>
              <w:rPr>
                <w:sz w:val="21"/>
                <w:szCs w:val="21"/>
              </w:rPr>
            </w:pPr>
            <w:r>
              <w:rPr>
                <w:rFonts w:hint="eastAsia" w:ascii="仿宋" w:hAnsi="仿宋" w:eastAsia="仿宋"/>
                <w:sz w:val="21"/>
                <w:szCs w:val="21"/>
              </w:rPr>
              <w:t>避光、避热，置于常温下保存。包装密封。应与易（可）燃物、碱类、活性金属粉末分开存放，切忌混储。储区应备有合适的材料收容泄漏物。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7" w:hRule="atLeast"/>
        </w:trPr>
        <w:tc>
          <w:tcPr>
            <w:tcW w:w="1111" w:type="dxa"/>
            <w:shd w:val="clear" w:color="auto" w:fill="auto"/>
            <w:vAlign w:val="center"/>
          </w:tcPr>
          <w:p>
            <w:pPr>
              <w:pStyle w:val="21"/>
              <w:ind w:left="0" w:leftChars="0" w:right="0" w:rightChars="0" w:firstLine="0" w:firstLineChars="0"/>
              <w:jc w:val="center"/>
              <w:rPr>
                <w:rFonts w:hint="eastAsia" w:ascii="仿宋" w:hAnsi="仿宋" w:eastAsia="仿宋"/>
                <w:kern w:val="0"/>
                <w:sz w:val="21"/>
                <w:szCs w:val="21"/>
                <w:lang w:eastAsia="zh-CN"/>
              </w:rPr>
            </w:pPr>
            <w:r>
              <w:rPr>
                <w:rFonts w:hint="eastAsia" w:ascii="仿宋" w:hAnsi="仿宋" w:eastAsia="仿宋"/>
                <w:kern w:val="0"/>
                <w:sz w:val="21"/>
                <w:szCs w:val="21"/>
                <w:lang w:eastAsia="zh-CN"/>
              </w:rPr>
              <w:t>氯化锌</w:t>
            </w:r>
          </w:p>
        </w:tc>
        <w:tc>
          <w:tcPr>
            <w:tcW w:w="5850" w:type="dxa"/>
            <w:shd w:val="clear" w:color="auto" w:fill="auto"/>
            <w:vAlign w:val="center"/>
          </w:tcPr>
          <w:p>
            <w:pPr>
              <w:ind w:left="0" w:leftChars="0" w:firstLine="630" w:firstLineChars="300"/>
              <w:jc w:val="both"/>
              <w:rPr>
                <w:rFonts w:hint="eastAsia" w:ascii="宋体" w:hAnsi="宋体" w:eastAsia="仿宋"/>
                <w:sz w:val="21"/>
                <w:szCs w:val="21"/>
                <w:lang w:val="en-US" w:eastAsia="zh-CN"/>
              </w:rPr>
            </w:pPr>
            <w:r>
              <w:rPr>
                <w:rFonts w:hint="eastAsia" w:ascii="仿宋" w:hAnsi="仿宋" w:eastAsia="仿宋"/>
                <w:sz w:val="21"/>
                <w:szCs w:val="21"/>
              </w:rPr>
              <w:t>危险货物编号：</w:t>
            </w:r>
            <w:r>
              <w:rPr>
                <w:rFonts w:hint="eastAsia" w:ascii="仿宋" w:hAnsi="仿宋" w:eastAsia="仿宋"/>
                <w:sz w:val="21"/>
                <w:szCs w:val="21"/>
                <w:lang w:val="en-US" w:eastAsia="zh-CN"/>
              </w:rPr>
              <w:t>83504</w:t>
            </w:r>
          </w:p>
          <w:p>
            <w:pPr>
              <w:ind w:left="0" w:leftChars="0" w:firstLine="630" w:firstLineChars="300"/>
              <w:jc w:val="both"/>
              <w:rPr>
                <w:rFonts w:hint="eastAsia" w:ascii="宋体" w:hAnsi="宋体"/>
                <w:sz w:val="21"/>
                <w:szCs w:val="21"/>
              </w:rPr>
            </w:pPr>
            <w:r>
              <w:rPr>
                <w:rFonts w:hint="eastAsia" w:ascii="宋体" w:hAnsi="宋体"/>
                <w:sz w:val="21"/>
                <w:szCs w:val="21"/>
              </w:rPr>
              <w:t>CAS号：7647-85-7</w:t>
            </w:r>
          </w:p>
          <w:p>
            <w:pPr>
              <w:pStyle w:val="17"/>
              <w:spacing w:line="240" w:lineRule="auto"/>
              <w:ind w:left="0" w:leftChars="0" w:right="0" w:rightChars="0" w:firstLine="630" w:firstLineChars="300"/>
              <w:rPr>
                <w:rFonts w:hint="eastAsia" w:ascii="仿宋" w:hAnsi="仿宋" w:eastAsia="仿宋"/>
                <w:sz w:val="21"/>
                <w:szCs w:val="21"/>
              </w:rPr>
            </w:pPr>
            <w:r>
              <w:rPr>
                <w:rFonts w:hint="eastAsia" w:ascii="仿宋" w:hAnsi="仿宋" w:eastAsia="仿宋"/>
                <w:sz w:val="21"/>
                <w:szCs w:val="21"/>
              </w:rPr>
              <w:t>包装标志：腐蚀品</w:t>
            </w:r>
          </w:p>
          <w:p>
            <w:pPr>
              <w:pStyle w:val="17"/>
              <w:spacing w:line="240" w:lineRule="auto"/>
              <w:ind w:left="0" w:leftChars="0" w:right="0" w:rightChars="0" w:firstLine="630" w:firstLineChars="300"/>
              <w:rPr>
                <w:rFonts w:hint="eastAsia" w:ascii="仿宋" w:hAnsi="仿宋" w:eastAsia="仿宋"/>
                <w:sz w:val="21"/>
                <w:szCs w:val="21"/>
                <w:lang w:eastAsia="zh-CN"/>
              </w:rPr>
            </w:pPr>
            <w:r>
              <w:rPr>
                <w:rFonts w:hint="eastAsia" w:ascii="仿宋" w:hAnsi="仿宋" w:eastAsia="仿宋"/>
                <w:sz w:val="21"/>
                <w:szCs w:val="21"/>
              </w:rPr>
              <w:t>包装方法：</w:t>
            </w:r>
            <w:r>
              <w:rPr>
                <w:rFonts w:hint="eastAsia" w:ascii="仿宋" w:hAnsi="仿宋" w:eastAsia="仿宋"/>
                <w:sz w:val="21"/>
                <w:szCs w:val="21"/>
                <w:lang w:eastAsia="zh-CN"/>
              </w:rPr>
              <w:t>无资料</w:t>
            </w:r>
          </w:p>
          <w:p>
            <w:pPr>
              <w:pStyle w:val="17"/>
              <w:spacing w:line="240" w:lineRule="auto"/>
              <w:ind w:left="0" w:leftChars="0" w:right="0" w:rightChars="0" w:firstLine="0" w:firstLineChars="0"/>
              <w:rPr>
                <w:rFonts w:hint="eastAsia" w:ascii="仿宋" w:hAnsi="仿宋" w:eastAsia="仿宋"/>
                <w:sz w:val="21"/>
                <w:szCs w:val="21"/>
              </w:rPr>
            </w:pPr>
            <w:r>
              <w:rPr>
                <w:rFonts w:hint="eastAsia" w:hAnsi="宋体" w:cs="宋体"/>
                <w:kern w:val="0"/>
                <w:sz w:val="18"/>
                <w:szCs w:val="18"/>
                <w:lang w:eastAsia="zh-CN"/>
              </w:rPr>
              <w:t>运输注意事项：</w:t>
            </w:r>
            <w:r>
              <w:rPr>
                <w:rFonts w:ascii="宋体" w:hAnsi="宋体" w:cs="宋体"/>
                <w:kern w:val="0"/>
                <w:sz w:val="18"/>
                <w:szCs w:val="18"/>
              </w:rPr>
              <w:t>起运时包装要完整，装载应稳妥。运输过程中要确保容器不泄漏、不倒塌、不坠落、不损坏。严禁与氧化剂、食用化学品等混装混运。运输时运输车辆应配备泄漏应急处理设备。运输途中应防曝晒、雨淋，防高温。</w:t>
            </w:r>
          </w:p>
          <w:p>
            <w:pPr>
              <w:pStyle w:val="17"/>
              <w:spacing w:line="240" w:lineRule="auto"/>
              <w:ind w:left="0" w:leftChars="0" w:right="0" w:rightChars="0" w:firstLine="0" w:firstLineChars="0"/>
              <w:jc w:val="left"/>
              <w:rPr>
                <w:rFonts w:hint="eastAsia" w:ascii="仿宋" w:hAnsi="仿宋" w:eastAsia="仿宋"/>
                <w:sz w:val="21"/>
                <w:szCs w:val="21"/>
              </w:rPr>
            </w:pPr>
            <w:r>
              <w:rPr>
                <w:rFonts w:hint="eastAsia"/>
                <w:color w:val="000000"/>
                <w:sz w:val="21"/>
                <w:szCs w:val="21"/>
                <w:lang w:eastAsia="zh-CN"/>
              </w:rPr>
              <w:t>作</w:t>
            </w:r>
            <w:r>
              <w:rPr>
                <w:rFonts w:hint="eastAsia"/>
                <w:color w:val="000000"/>
                <w:sz w:val="21"/>
                <w:szCs w:val="21"/>
              </w:rPr>
              <w:t>业人员防护措施、防护装备和应急处置程序：消除所有点火源。根据物体扩散的影响区域划定警戒区，无关人员从侧风、上风向撤离到安全区。合理通风，加速扩散。建议应急处理人员戴正压自给式呼吸器，穿防静电服。作业时使用的所有设备应接地。禁止接触或跨越泄漏物。尽可能切断泄漏源。</w:t>
            </w:r>
          </w:p>
        </w:tc>
        <w:tc>
          <w:tcPr>
            <w:tcW w:w="2327" w:type="dxa"/>
            <w:shd w:val="clear" w:color="auto" w:fill="auto"/>
            <w:vAlign w:val="center"/>
          </w:tcPr>
          <w:p>
            <w:pPr>
              <w:pStyle w:val="17"/>
              <w:spacing w:line="240" w:lineRule="auto"/>
              <w:ind w:left="0" w:leftChars="0" w:right="0" w:rightChars="0" w:firstLine="0" w:firstLineChars="0"/>
              <w:jc w:val="left"/>
              <w:rPr>
                <w:rFonts w:hint="eastAsia"/>
                <w:color w:val="000000"/>
                <w:sz w:val="21"/>
                <w:szCs w:val="21"/>
              </w:rPr>
            </w:pPr>
            <w:r>
              <w:rPr>
                <w:rFonts w:hint="eastAsia"/>
                <w:color w:val="000000"/>
                <w:sz w:val="21"/>
                <w:szCs w:val="21"/>
              </w:rPr>
              <w:t>储存注意事项：储存于阴凉、通风的库房。远离火种、热源。应与氧化剂、食用化学品分开存放，切忌混储。储区应备有合适的材料收容泄漏物。</w:t>
            </w:r>
          </w:p>
          <w:p>
            <w:pPr>
              <w:pStyle w:val="17"/>
              <w:spacing w:line="240" w:lineRule="auto"/>
              <w:ind w:left="0" w:leftChars="0" w:right="0" w:rightChars="0" w:firstLine="0" w:firstLineChars="0"/>
              <w:rPr>
                <w:rFonts w:hint="eastAsia" w:ascii="仿宋" w:hAnsi="仿宋" w:eastAsia="仿宋"/>
                <w:sz w:val="21"/>
                <w:szCs w:val="21"/>
              </w:rPr>
            </w:pPr>
          </w:p>
        </w:tc>
      </w:tr>
    </w:tbl>
    <w:p>
      <w:pPr>
        <w:pStyle w:val="17"/>
        <w:spacing w:line="360" w:lineRule="auto"/>
        <w:ind w:left="0" w:leftChars="0" w:right="0" w:rightChars="0" w:firstLine="0" w:firstLineChars="0"/>
        <w:jc w:val="both"/>
        <w:rPr>
          <w:rFonts w:ascii="仿宋" w:hAnsi="仿宋" w:eastAsia="仿宋"/>
          <w:b/>
          <w:sz w:val="24"/>
          <w:szCs w:val="24"/>
        </w:rPr>
      </w:pPr>
    </w:p>
    <w:p>
      <w:pPr>
        <w:pStyle w:val="17"/>
        <w:spacing w:line="360" w:lineRule="auto"/>
        <w:ind w:left="0" w:leftChars="0" w:right="0" w:rightChars="0" w:firstLine="0" w:firstLineChars="0"/>
        <w:jc w:val="both"/>
        <w:rPr>
          <w:rFonts w:ascii="仿宋" w:hAnsi="仿宋" w:eastAsia="仿宋"/>
          <w:b/>
          <w:sz w:val="24"/>
          <w:szCs w:val="24"/>
        </w:rPr>
      </w:pPr>
    </w:p>
    <w:p>
      <w:pPr>
        <w:snapToGrid w:val="0"/>
        <w:spacing w:line="500" w:lineRule="exact"/>
        <w:ind w:leftChars="0" w:right="280" w:firstLine="0" w:firstLineChars="0"/>
        <w:rPr>
          <w:rFonts w:ascii="仿宋" w:hAnsi="仿宋" w:eastAsia="仿宋"/>
          <w:b/>
          <w:szCs w:val="28"/>
        </w:rPr>
      </w:pPr>
      <w:r>
        <w:rPr>
          <w:rFonts w:ascii="仿宋" w:hAnsi="仿宋" w:eastAsia="仿宋"/>
          <w:b/>
          <w:szCs w:val="28"/>
        </w:rPr>
        <w:t xml:space="preserve">5.1.2.3物料泄漏事故的防范措施 </w:t>
      </w:r>
    </w:p>
    <w:p>
      <w:pPr>
        <w:pStyle w:val="4"/>
        <w:ind w:firstLine="560"/>
        <w:rPr>
          <w:rFonts w:ascii="仿宋" w:hAnsi="仿宋" w:eastAsia="仿宋"/>
        </w:rPr>
      </w:pPr>
      <w:r>
        <w:rPr>
          <w:rFonts w:ascii="仿宋" w:hAnsi="仿宋" w:eastAsia="仿宋"/>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物料泄漏事故的预防：</w:t>
      </w:r>
    </w:p>
    <w:p>
      <w:pPr>
        <w:pStyle w:val="4"/>
        <w:ind w:firstLine="560"/>
        <w:rPr>
          <w:rFonts w:ascii="仿宋" w:hAnsi="仿宋" w:eastAsia="仿宋"/>
        </w:rPr>
      </w:pPr>
      <w:r>
        <w:rPr>
          <w:rFonts w:hint="eastAsia" w:ascii="仿宋" w:hAnsi="仿宋" w:eastAsia="仿宋"/>
        </w:rPr>
        <w:t>（1）</w:t>
      </w:r>
      <w:r>
        <w:rPr>
          <w:rFonts w:ascii="仿宋" w:hAnsi="仿宋" w:eastAsia="仿宋"/>
        </w:rPr>
        <w:t>经常检查管道，地上管道应防止汽车碰撞，并控制管道支撑的磨损。定期系统试压、定期检漏。</w:t>
      </w:r>
    </w:p>
    <w:p>
      <w:pPr>
        <w:pStyle w:val="4"/>
        <w:ind w:firstLine="560"/>
        <w:rPr>
          <w:rFonts w:ascii="仿宋" w:hAnsi="仿宋" w:eastAsia="仿宋"/>
        </w:rPr>
      </w:pPr>
      <w:r>
        <w:rPr>
          <w:rFonts w:hint="eastAsia" w:ascii="仿宋" w:hAnsi="仿宋" w:eastAsia="仿宋"/>
        </w:rPr>
        <w:t>（2）</w:t>
      </w:r>
      <w:r>
        <w:rPr>
          <w:rFonts w:ascii="仿宋" w:hAnsi="仿宋" w:eastAsia="仿宋"/>
        </w:rPr>
        <w:t>本项目生产装置、储存区涉及的</w:t>
      </w:r>
      <w:r>
        <w:rPr>
          <w:rFonts w:hint="eastAsia" w:ascii="仿宋" w:hAnsi="仿宋" w:eastAsia="仿宋"/>
        </w:rPr>
        <w:t>各类危险废物及燃料柴油</w:t>
      </w:r>
      <w:r>
        <w:rPr>
          <w:rFonts w:ascii="仿宋" w:hAnsi="仿宋" w:eastAsia="仿宋"/>
        </w:rPr>
        <w:t>有一定危害性</w:t>
      </w:r>
      <w:r>
        <w:rPr>
          <w:rFonts w:hint="eastAsia" w:ascii="仿宋" w:hAnsi="仿宋" w:eastAsia="仿宋"/>
        </w:rPr>
        <w:t>，</w:t>
      </w:r>
      <w:r>
        <w:rPr>
          <w:rFonts w:ascii="仿宋" w:hAnsi="仿宋" w:eastAsia="仿宋"/>
        </w:rPr>
        <w:t>通过加强管理，提高员工的安全意识，可降低发生泄漏的概率。</w:t>
      </w:r>
    </w:p>
    <w:p>
      <w:pPr>
        <w:pStyle w:val="4"/>
        <w:ind w:firstLine="560"/>
        <w:rPr>
          <w:rFonts w:ascii="仿宋" w:hAnsi="仿宋" w:eastAsia="仿宋"/>
        </w:rPr>
      </w:pPr>
      <w:r>
        <w:rPr>
          <w:rFonts w:hint="eastAsia" w:ascii="仿宋" w:hAnsi="仿宋" w:eastAsia="仿宋"/>
        </w:rPr>
        <w:t>（3）</w:t>
      </w:r>
      <w:r>
        <w:rPr>
          <w:rFonts w:ascii="仿宋" w:hAnsi="仿宋" w:eastAsia="仿宋"/>
        </w:rPr>
        <w:t>定期检查设备，若查出存在安全隐患，应及时检修。</w:t>
      </w:r>
    </w:p>
    <w:p>
      <w:pPr>
        <w:pStyle w:val="4"/>
        <w:ind w:firstLine="560"/>
        <w:rPr>
          <w:rFonts w:ascii="仿宋" w:hAnsi="仿宋" w:eastAsia="仿宋"/>
        </w:rPr>
      </w:pPr>
      <w:r>
        <w:rPr>
          <w:rFonts w:hint="eastAsia" w:ascii="仿宋" w:hAnsi="仿宋" w:eastAsia="仿宋"/>
        </w:rPr>
        <w:t>（4）储罐区及生产车间安装可燃气体报警器，以便及早发现泄露、及早处理。</w:t>
      </w:r>
    </w:p>
    <w:p>
      <w:pPr>
        <w:pStyle w:val="4"/>
        <w:ind w:firstLine="560"/>
        <w:rPr>
          <w:rFonts w:ascii="仿宋" w:hAnsi="仿宋" w:eastAsia="仿宋"/>
        </w:rPr>
      </w:pPr>
      <w:r>
        <w:rPr>
          <w:rFonts w:hint="eastAsia" w:ascii="仿宋" w:hAnsi="仿宋" w:eastAsia="仿宋"/>
        </w:rPr>
        <w:t>（5）</w:t>
      </w:r>
      <w:r>
        <w:rPr>
          <w:rFonts w:ascii="仿宋" w:hAnsi="仿宋" w:eastAsia="仿宋"/>
        </w:rPr>
        <w:t>本项目贮槽区及生产区四周设置围堰</w:t>
      </w:r>
      <w:r>
        <w:rPr>
          <w:rFonts w:hint="eastAsia" w:ascii="仿宋" w:hAnsi="仿宋" w:eastAsia="仿宋"/>
        </w:rPr>
        <w:t>，</w:t>
      </w:r>
      <w:r>
        <w:rPr>
          <w:rFonts w:ascii="仿宋" w:hAnsi="仿宋" w:eastAsia="仿宋"/>
        </w:rPr>
        <w:t>并设有导流槽导流进入事故应急池</w:t>
      </w:r>
      <w:r>
        <w:rPr>
          <w:rFonts w:hint="eastAsia" w:ascii="仿宋" w:hAnsi="仿宋" w:eastAsia="仿宋"/>
        </w:rPr>
        <w:t>，</w:t>
      </w:r>
      <w:r>
        <w:rPr>
          <w:rFonts w:ascii="仿宋" w:hAnsi="仿宋" w:eastAsia="仿宋"/>
        </w:rPr>
        <w:t>以便发生泄漏事故时做好收集的作用</w:t>
      </w:r>
      <w:r>
        <w:rPr>
          <w:rFonts w:hint="eastAsia" w:ascii="仿宋" w:hAnsi="仿宋" w:eastAsia="仿宋"/>
        </w:rPr>
        <w:t>。</w:t>
      </w:r>
    </w:p>
    <w:p>
      <w:pPr>
        <w:pStyle w:val="4"/>
        <w:ind w:firstLine="560"/>
        <w:rPr>
          <w:rFonts w:ascii="仿宋" w:hAnsi="仿宋" w:eastAsia="仿宋"/>
          <w:color w:val="FF0000"/>
        </w:rPr>
      </w:pPr>
      <w:r>
        <w:rPr>
          <w:rFonts w:hint="eastAsia" w:ascii="仿宋" w:hAnsi="仿宋" w:eastAsia="仿宋"/>
        </w:rPr>
        <w:t>（6）固废堆场做好“三防”措施，并设置渗滤液导流槽。</w:t>
      </w:r>
    </w:p>
    <w:p>
      <w:pPr>
        <w:snapToGrid w:val="0"/>
        <w:spacing w:line="500" w:lineRule="exact"/>
        <w:ind w:leftChars="0" w:right="280" w:firstLineChars="71"/>
        <w:rPr>
          <w:rFonts w:ascii="仿宋" w:hAnsi="仿宋" w:eastAsia="仿宋"/>
          <w:b/>
          <w:szCs w:val="28"/>
        </w:rPr>
      </w:pPr>
      <w:r>
        <w:rPr>
          <w:rFonts w:ascii="仿宋" w:hAnsi="仿宋" w:eastAsia="仿宋"/>
          <w:b/>
          <w:szCs w:val="28"/>
        </w:rPr>
        <w:t>5.1.2.4废水处理系统</w:t>
      </w:r>
    </w:p>
    <w:p>
      <w:pPr>
        <w:pStyle w:val="4"/>
        <w:ind w:firstLine="560"/>
        <w:rPr>
          <w:rFonts w:eastAsia="仿宋"/>
        </w:rPr>
      </w:pPr>
      <w:r>
        <w:rPr>
          <w:rFonts w:eastAsia="仿宋"/>
        </w:rPr>
        <w:t>（1）生产车间地面冲洗废水及滤布洗涤废水</w:t>
      </w:r>
    </w:p>
    <w:p>
      <w:pPr>
        <w:pStyle w:val="4"/>
        <w:ind w:firstLine="560"/>
        <w:rPr>
          <w:rFonts w:eastAsia="仿宋"/>
        </w:rPr>
      </w:pPr>
      <w:r>
        <w:rPr>
          <w:rFonts w:eastAsia="仿宋"/>
        </w:rPr>
        <w:t>生产车间地面冲洗废水及滤布洗涤废水产生量共27.5m</w:t>
      </w:r>
      <w:r>
        <w:rPr>
          <w:rFonts w:eastAsia="仿宋"/>
          <w:vertAlign w:val="superscript"/>
        </w:rPr>
        <w:t>3</w:t>
      </w:r>
      <w:r>
        <w:rPr>
          <w:rFonts w:eastAsia="仿宋"/>
        </w:rPr>
        <w:t>/d，主要污染因子为锌、铅、</w:t>
      </w:r>
      <w:r>
        <w:rPr>
          <w:rFonts w:hint="eastAsia" w:eastAsia="仿宋"/>
          <w:lang w:eastAsia="zh-CN"/>
        </w:rPr>
        <w:t>镉</w:t>
      </w:r>
      <w:r>
        <w:rPr>
          <w:rFonts w:eastAsia="仿宋"/>
        </w:rPr>
        <w:t>等重金属，分别回用于</w:t>
      </w:r>
      <w:r>
        <w:rPr>
          <w:rFonts w:hint="eastAsia" w:eastAsia="仿宋"/>
          <w:lang w:eastAsia="zh-CN"/>
        </w:rPr>
        <w:t>硫酸锌净化槽生产补水</w:t>
      </w:r>
      <w:r>
        <w:rPr>
          <w:rFonts w:eastAsia="仿宋"/>
        </w:rPr>
        <w:t>。</w:t>
      </w:r>
    </w:p>
    <w:p>
      <w:pPr>
        <w:pStyle w:val="4"/>
        <w:ind w:firstLine="560"/>
        <w:rPr>
          <w:rFonts w:eastAsia="仿宋"/>
        </w:rPr>
      </w:pPr>
    </w:p>
    <w:p>
      <w:pPr>
        <w:pStyle w:val="4"/>
        <w:numPr>
          <w:ilvl w:val="0"/>
          <w:numId w:val="0"/>
        </w:numPr>
        <w:tabs>
          <w:tab w:val="left" w:pos="989"/>
        </w:tabs>
        <w:ind w:leftChars="200" w:right="0" w:rightChars="0"/>
        <w:rPr>
          <w:rFonts w:eastAsia="仿宋"/>
        </w:rPr>
      </w:pPr>
      <w:r>
        <w:rPr>
          <w:rFonts w:hint="eastAsia" w:eastAsia="仿宋"/>
          <w:lang w:eastAsia="zh-CN"/>
        </w:rPr>
        <w:t>（</w:t>
      </w:r>
      <w:r>
        <w:rPr>
          <w:rFonts w:hint="eastAsia" w:eastAsia="仿宋"/>
          <w:lang w:val="en-US" w:eastAsia="zh-CN"/>
        </w:rPr>
        <w:t>2</w:t>
      </w:r>
      <w:r>
        <w:rPr>
          <w:rFonts w:hint="eastAsia" w:eastAsia="仿宋"/>
          <w:lang w:eastAsia="zh-CN"/>
        </w:rPr>
        <w:t>）</w:t>
      </w:r>
      <w:r>
        <w:rPr>
          <w:rFonts w:eastAsia="仿宋"/>
        </w:rPr>
        <w:t>初期雨水</w:t>
      </w:r>
    </w:p>
    <w:p>
      <w:pPr>
        <w:pStyle w:val="4"/>
        <w:ind w:firstLine="560"/>
        <w:rPr>
          <w:rFonts w:eastAsia="仿宋"/>
        </w:rPr>
      </w:pPr>
      <w:r>
        <w:rPr>
          <w:rFonts w:eastAsia="仿宋"/>
        </w:rPr>
        <w:t>降雨初期雨水是指对相对较脏的生产区、原料库等场地收集的（总收集面积约4500m</w:t>
      </w:r>
      <w:r>
        <w:rPr>
          <w:rFonts w:eastAsia="仿宋"/>
          <w:vertAlign w:val="superscript"/>
        </w:rPr>
        <w:t>2</w:t>
      </w:r>
      <w:r>
        <w:rPr>
          <w:rFonts w:eastAsia="仿宋"/>
        </w:rPr>
        <w:t>）初期15mm降雨形成的废水，则一次最大收集水量67.5m</w:t>
      </w:r>
      <w:r>
        <w:rPr>
          <w:rFonts w:eastAsia="仿宋"/>
          <w:vertAlign w:val="superscript"/>
        </w:rPr>
        <w:t>3</w:t>
      </w:r>
      <w:r>
        <w:rPr>
          <w:rFonts w:eastAsia="仿宋"/>
        </w:rPr>
        <w:t xml:space="preserve"> 考虑，</w:t>
      </w:r>
      <w:r>
        <w:rPr>
          <w:rFonts w:hint="eastAsia" w:eastAsia="仿宋"/>
          <w:lang w:eastAsia="zh-CN"/>
        </w:rPr>
        <w:t>公司在厂区东面构建了一个</w:t>
      </w:r>
      <w:r>
        <w:rPr>
          <w:rFonts w:hint="eastAsia" w:eastAsia="仿宋"/>
          <w:lang w:val="en-US" w:eastAsia="zh-CN"/>
        </w:rPr>
        <w:t>300立方米的雨水收集池收集雨水，</w:t>
      </w:r>
      <w:r>
        <w:rPr>
          <w:rFonts w:eastAsia="仿宋"/>
        </w:rPr>
        <w:t>收集后的初期雨水经沉淀处理后，</w:t>
      </w:r>
      <w:r>
        <w:rPr>
          <w:rFonts w:hint="eastAsia" w:eastAsia="仿宋"/>
          <w:lang w:eastAsia="zh-CN"/>
        </w:rPr>
        <w:t>通过管网排往大洋洲污水处理站</w:t>
      </w:r>
      <w:r>
        <w:rPr>
          <w:rFonts w:eastAsia="仿宋"/>
        </w:rPr>
        <w:t>。</w:t>
      </w:r>
    </w:p>
    <w:p>
      <w:pPr>
        <w:pStyle w:val="4"/>
        <w:numPr>
          <w:ilvl w:val="0"/>
          <w:numId w:val="3"/>
        </w:numPr>
        <w:ind w:firstLine="560"/>
        <w:rPr>
          <w:rFonts w:eastAsia="仿宋"/>
        </w:rPr>
      </w:pPr>
      <w:r>
        <w:rPr>
          <w:rFonts w:eastAsia="仿宋"/>
        </w:rPr>
        <w:t>本项目废水排放主要是生活污水。生活污水经生化处理达到《污水综合排放标准》（GB8978-1996）表4中的</w:t>
      </w:r>
      <w:r>
        <w:rPr>
          <w:rFonts w:hint="eastAsia" w:eastAsia="仿宋"/>
          <w:lang w:eastAsia="zh-CN"/>
        </w:rPr>
        <w:t>三</w:t>
      </w:r>
      <w:r>
        <w:rPr>
          <w:rFonts w:eastAsia="仿宋"/>
        </w:rPr>
        <w:t>级排放标准</w:t>
      </w:r>
      <w:r>
        <w:rPr>
          <w:rFonts w:hint="eastAsia" w:eastAsia="仿宋"/>
          <w:lang w:eastAsia="zh-CN"/>
        </w:rPr>
        <w:t>经工业园内的污水排水管网排入盐化工业城污水处理厂</w:t>
      </w:r>
      <w:r>
        <w:rPr>
          <w:rFonts w:eastAsia="仿宋"/>
        </w:rPr>
        <w:t>。</w:t>
      </w:r>
    </w:p>
    <w:p>
      <w:pPr>
        <w:pStyle w:val="4"/>
        <w:ind w:firstLine="560"/>
        <w:rPr>
          <w:rFonts w:eastAsia="仿宋"/>
        </w:rPr>
      </w:pPr>
      <w:r>
        <w:rPr>
          <w:rFonts w:eastAsia="仿宋"/>
        </w:rPr>
        <w:t>为防止湿法车间物料泄漏对外环境产生影响，本项目在</w:t>
      </w:r>
      <w:r>
        <w:rPr>
          <w:rFonts w:hint="eastAsia" w:eastAsia="仿宋"/>
          <w:lang w:eastAsia="zh-CN"/>
        </w:rPr>
        <w:t>厂区东面构建了一个</w:t>
      </w:r>
      <w:r>
        <w:rPr>
          <w:rFonts w:hint="eastAsia" w:eastAsia="仿宋"/>
          <w:lang w:val="en-US" w:eastAsia="zh-CN"/>
        </w:rPr>
        <w:t>300</w:t>
      </w:r>
      <w:r>
        <w:rPr>
          <w:rFonts w:eastAsia="仿宋"/>
        </w:rPr>
        <w:t>m³</w:t>
      </w:r>
      <w:r>
        <w:rPr>
          <w:rFonts w:hint="eastAsia" w:eastAsia="仿宋"/>
          <w:lang w:eastAsia="zh-CN"/>
        </w:rPr>
        <w:t>的事故应急池</w:t>
      </w:r>
      <w:r>
        <w:rPr>
          <w:rFonts w:eastAsia="仿宋"/>
        </w:rPr>
        <w:t>。事故应急池均作防腐、防渗处理。</w:t>
      </w:r>
    </w:p>
    <w:p>
      <w:pPr>
        <w:snapToGrid w:val="0"/>
        <w:spacing w:line="500" w:lineRule="exact"/>
        <w:ind w:leftChars="0" w:right="280" w:firstLine="0" w:firstLineChars="0"/>
        <w:rPr>
          <w:rFonts w:ascii="仿宋" w:hAnsi="仿宋" w:eastAsia="仿宋"/>
          <w:b/>
          <w:szCs w:val="28"/>
        </w:rPr>
      </w:pPr>
      <w:r>
        <w:rPr>
          <w:rFonts w:ascii="仿宋" w:hAnsi="仿宋" w:eastAsia="仿宋"/>
          <w:b/>
          <w:szCs w:val="28"/>
        </w:rPr>
        <w:t>5.1.2.5</w:t>
      </w:r>
      <w:bookmarkStart w:id="233" w:name="_Toc347388997"/>
      <w:bookmarkStart w:id="234" w:name="_Toc347352041"/>
      <w:r>
        <w:rPr>
          <w:rFonts w:ascii="仿宋" w:hAnsi="仿宋" w:eastAsia="仿宋"/>
          <w:b/>
          <w:szCs w:val="28"/>
        </w:rPr>
        <w:t>火灾和爆炸事故的防范措施</w:t>
      </w:r>
    </w:p>
    <w:p>
      <w:pPr>
        <w:pStyle w:val="4"/>
        <w:ind w:firstLine="560"/>
        <w:rPr>
          <w:rFonts w:ascii="仿宋" w:hAnsi="仿宋" w:eastAsia="仿宋"/>
        </w:rPr>
      </w:pPr>
      <w:r>
        <w:rPr>
          <w:rFonts w:hint="eastAsia" w:ascii="仿宋" w:hAnsi="仿宋" w:eastAsia="仿宋"/>
        </w:rPr>
        <w:t>（1）</w:t>
      </w:r>
      <w:r>
        <w:rPr>
          <w:rFonts w:ascii="仿宋" w:hAnsi="仿宋" w:eastAsia="仿宋"/>
        </w:rPr>
        <w:t>生产厂房已按照《建筑设计防火规范》等标准的要求建设，设置防火间距、平面布置等。</w:t>
      </w:r>
    </w:p>
    <w:p>
      <w:pPr>
        <w:pStyle w:val="4"/>
        <w:ind w:firstLine="560"/>
        <w:rPr>
          <w:rFonts w:ascii="仿宋" w:hAnsi="仿宋" w:eastAsia="仿宋"/>
        </w:rPr>
      </w:pPr>
      <w:r>
        <w:rPr>
          <w:rFonts w:hint="eastAsia" w:ascii="仿宋" w:hAnsi="仿宋" w:eastAsia="仿宋"/>
        </w:rPr>
        <w:t>（2）</w:t>
      </w:r>
      <w:r>
        <w:rPr>
          <w:rFonts w:ascii="仿宋" w:hAnsi="仿宋" w:eastAsia="仿宋"/>
        </w:rPr>
        <w:t>储运设备的安全管理：定期对储运设备进行安全检测，检测内容、时间、人员应有记录保存。安全检测应根据设备的安全性、危险性设定检测频次。</w:t>
      </w:r>
    </w:p>
    <w:p>
      <w:pPr>
        <w:pStyle w:val="4"/>
        <w:ind w:firstLine="560"/>
        <w:rPr>
          <w:rFonts w:ascii="仿宋" w:hAnsi="仿宋" w:eastAsia="仿宋"/>
        </w:rPr>
      </w:pPr>
      <w:r>
        <w:rPr>
          <w:rFonts w:hint="eastAsia" w:ascii="仿宋" w:hAnsi="仿宋" w:eastAsia="仿宋"/>
        </w:rPr>
        <w:t>（3）</w:t>
      </w:r>
      <w:r>
        <w:rPr>
          <w:rFonts w:ascii="仿宋" w:hAnsi="仿宋" w:eastAsia="仿宋"/>
        </w:rPr>
        <w:t>应加强火源的管理，严禁烟火带入，对设备需进行维修焊接，应经安全部门确认、准许，并有记录。</w:t>
      </w:r>
    </w:p>
    <w:p>
      <w:pPr>
        <w:pStyle w:val="4"/>
        <w:ind w:firstLine="560"/>
        <w:rPr>
          <w:rFonts w:ascii="仿宋" w:hAnsi="仿宋" w:eastAsia="仿宋"/>
        </w:rPr>
      </w:pPr>
      <w:r>
        <w:rPr>
          <w:rFonts w:hint="eastAsia" w:ascii="仿宋" w:hAnsi="仿宋" w:eastAsia="仿宋"/>
        </w:rPr>
        <w:t>（4）</w:t>
      </w:r>
      <w:r>
        <w:rPr>
          <w:rFonts w:ascii="仿宋" w:hAnsi="仿宋" w:eastAsia="仿宋"/>
        </w:rPr>
        <w:t>要有完善的安全消防措施。从平面布置上，本厂的仓库、罐区之间应按国家消防安全规定，设置足够的安全距离和道路，以便安全疏散和消防。各重点部位设置有灭火器，并且对其作定期检查。</w:t>
      </w:r>
    </w:p>
    <w:p>
      <w:pPr>
        <w:snapToGrid w:val="0"/>
        <w:spacing w:line="500" w:lineRule="exact"/>
        <w:ind w:leftChars="0" w:right="280" w:firstLine="0" w:firstLineChars="0"/>
        <w:rPr>
          <w:rFonts w:ascii="仿宋" w:hAnsi="仿宋" w:eastAsia="仿宋"/>
          <w:b/>
          <w:szCs w:val="28"/>
        </w:rPr>
      </w:pPr>
      <w:r>
        <w:rPr>
          <w:rFonts w:ascii="仿宋" w:hAnsi="仿宋" w:eastAsia="仿宋"/>
          <w:b/>
          <w:szCs w:val="28"/>
        </w:rPr>
        <w:t>5.1.2.6电气、电讯防范措施</w:t>
      </w:r>
    </w:p>
    <w:p>
      <w:pPr>
        <w:pStyle w:val="4"/>
        <w:ind w:firstLine="560"/>
        <w:rPr>
          <w:rFonts w:ascii="仿宋" w:hAnsi="仿宋" w:eastAsia="仿宋"/>
        </w:rPr>
      </w:pPr>
      <w:r>
        <w:rPr>
          <w:rFonts w:ascii="仿宋" w:hAnsi="仿宋" w:eastAsia="仿宋"/>
        </w:rPr>
        <w:t>爆炸危险环境内的电气设备必须是符合现行国家标准并有国家检验部门防爆合格证的产品。</w:t>
      </w:r>
    </w:p>
    <w:p>
      <w:pPr>
        <w:pStyle w:val="4"/>
        <w:ind w:firstLine="560"/>
        <w:rPr>
          <w:rFonts w:ascii="仿宋" w:hAnsi="仿宋" w:eastAsia="仿宋"/>
        </w:rPr>
      </w:pPr>
      <w:r>
        <w:rPr>
          <w:rFonts w:ascii="仿宋" w:hAnsi="仿宋" w:eastAsia="仿宋"/>
        </w:rPr>
        <w:t>爆炸危险环境内的电气设备应能防止周围化学、机械、热和生物因素的危害，应与环境温度、空气湿度、海拔高度、日光辐射、风沙、地震等环境条件下的要求相适应。其结构应满足电气设备在规定的运行条件下不会降低防爆性能的要求。</w:t>
      </w:r>
    </w:p>
    <w:p>
      <w:pPr>
        <w:pStyle w:val="4"/>
        <w:ind w:firstLine="560"/>
        <w:rPr>
          <w:rFonts w:ascii="仿宋" w:hAnsi="仿宋" w:eastAsia="仿宋"/>
        </w:rPr>
      </w:pPr>
      <w:r>
        <w:rPr>
          <w:rFonts w:hint="eastAsia" w:ascii="仿宋" w:hAnsi="仿宋" w:eastAsia="仿宋" w:cs="宋体"/>
        </w:rPr>
        <w:t>①</w:t>
      </w:r>
      <w:r>
        <w:rPr>
          <w:rFonts w:ascii="仿宋" w:hAnsi="仿宋" w:eastAsia="仿宋"/>
        </w:rPr>
        <w:t>电气线路位置的选择</w:t>
      </w:r>
    </w:p>
    <w:p>
      <w:pPr>
        <w:pStyle w:val="4"/>
        <w:ind w:firstLine="560"/>
        <w:rPr>
          <w:rFonts w:ascii="仿宋" w:hAnsi="仿宋" w:eastAsia="仿宋"/>
        </w:rPr>
      </w:pPr>
      <w:r>
        <w:rPr>
          <w:rFonts w:ascii="仿宋" w:hAnsi="仿宋" w:eastAsia="仿宋"/>
        </w:rPr>
        <w:t>在爆炸危险性较小或距离释放源较远的位置，应当考虑敷设电气线路。例如，当爆炸危险气体或蒸气比空气重时，电气线路应在高处敷设，电缆则直接埋地敷设或电缆沟充砂敷设；当爆炸危险气体或蒸气比空气轻时，电气线路宜敷设在低处，电缆则采取电缆沟敷设。</w:t>
      </w:r>
    </w:p>
    <w:p>
      <w:pPr>
        <w:pStyle w:val="4"/>
        <w:ind w:firstLine="560"/>
        <w:rPr>
          <w:rFonts w:ascii="仿宋" w:hAnsi="仿宋" w:eastAsia="仿宋"/>
        </w:rPr>
      </w:pPr>
      <w:r>
        <w:rPr>
          <w:rFonts w:ascii="仿宋" w:hAnsi="仿宋" w:eastAsia="仿宋"/>
        </w:rPr>
        <w:t>电气线路宜沿有爆炸危险的建筑物的外墙敷设。当电气线路沿输送易燃气体或易燃液体的管道栈桥敷设时，应尽量沿危险程度较低的管道一侧敷设。当易燃气体或蒸气比空气重时，电气线路应在管道上方；当易燃气体或蒸气比空气轻时，电气线路应在管道下方。</w:t>
      </w:r>
    </w:p>
    <w:p>
      <w:pPr>
        <w:pStyle w:val="4"/>
        <w:ind w:firstLine="560"/>
        <w:rPr>
          <w:rFonts w:ascii="仿宋" w:hAnsi="仿宋" w:eastAsia="仿宋"/>
        </w:rPr>
      </w:pPr>
      <w:r>
        <w:rPr>
          <w:rFonts w:ascii="仿宋" w:hAnsi="仿宋" w:eastAsia="仿宋"/>
        </w:rPr>
        <w:t>电气线路应避开可能受到机械损伤、振动、污染、腐蚀及受热的地方；否则，应采取防护措施。</w:t>
      </w:r>
    </w:p>
    <w:p>
      <w:pPr>
        <w:pStyle w:val="4"/>
        <w:ind w:firstLine="560"/>
        <w:rPr>
          <w:rFonts w:ascii="仿宋" w:hAnsi="仿宋" w:eastAsia="仿宋"/>
        </w:rPr>
      </w:pPr>
      <w:r>
        <w:rPr>
          <w:rFonts w:hint="eastAsia" w:ascii="仿宋" w:hAnsi="仿宋" w:eastAsia="仿宋" w:cs="宋体"/>
        </w:rPr>
        <w:t>②</w:t>
      </w:r>
      <w:r>
        <w:rPr>
          <w:rFonts w:ascii="仿宋" w:hAnsi="仿宋" w:eastAsia="仿宋"/>
        </w:rPr>
        <w:t>线路敷设方式的选择</w:t>
      </w:r>
    </w:p>
    <w:p>
      <w:pPr>
        <w:pStyle w:val="4"/>
        <w:ind w:firstLine="560"/>
        <w:rPr>
          <w:rFonts w:ascii="仿宋" w:hAnsi="仿宋" w:eastAsia="仿宋"/>
        </w:rPr>
      </w:pPr>
      <w:r>
        <w:rPr>
          <w:rFonts w:ascii="仿宋" w:hAnsi="仿宋" w:eastAsia="仿宋"/>
        </w:rPr>
        <w:t>爆炸危险环境中，电气线路主要有防爆钢管配线和电缆配线，其敷设方式应符合要求。爆炸危险环境不得明敷电气线路。</w:t>
      </w:r>
    </w:p>
    <w:p>
      <w:pPr>
        <w:pStyle w:val="4"/>
        <w:ind w:firstLine="560"/>
        <w:rPr>
          <w:rFonts w:ascii="仿宋" w:hAnsi="仿宋" w:eastAsia="仿宋"/>
        </w:rPr>
      </w:pPr>
      <w:r>
        <w:rPr>
          <w:rFonts w:ascii="仿宋" w:hAnsi="仿宋" w:eastAsia="仿宋"/>
        </w:rPr>
        <w:t>固定敷设的电力电缆应采用铠装电缆。固定敷设的照明、通讯、信号和控制电缆可采用铠装电缆和塑料护套电缆。非固定敷设的电缆应采用非塑性橡胶护套电缆。</w:t>
      </w:r>
    </w:p>
    <w:p>
      <w:pPr>
        <w:pStyle w:val="4"/>
        <w:ind w:firstLine="560"/>
        <w:rPr>
          <w:rFonts w:ascii="仿宋" w:hAnsi="仿宋" w:eastAsia="仿宋"/>
        </w:rPr>
      </w:pPr>
      <w:r>
        <w:rPr>
          <w:rFonts w:ascii="仿宋" w:hAnsi="仿宋" w:eastAsia="仿宋"/>
        </w:rPr>
        <w:t>不同用途的电缆应分开敷设。</w:t>
      </w:r>
    </w:p>
    <w:p>
      <w:pPr>
        <w:pStyle w:val="4"/>
        <w:ind w:firstLine="560"/>
        <w:rPr>
          <w:rFonts w:ascii="仿宋" w:hAnsi="仿宋" w:eastAsia="仿宋"/>
        </w:rPr>
      </w:pPr>
      <w:r>
        <w:rPr>
          <w:rFonts w:hint="eastAsia" w:ascii="仿宋" w:hAnsi="仿宋" w:eastAsia="仿宋" w:cs="宋体"/>
        </w:rPr>
        <w:t>③</w:t>
      </w:r>
      <w:r>
        <w:rPr>
          <w:rFonts w:ascii="仿宋" w:hAnsi="仿宋" w:eastAsia="仿宋"/>
        </w:rPr>
        <w:t>隔离密封</w:t>
      </w:r>
    </w:p>
    <w:p>
      <w:pPr>
        <w:pStyle w:val="4"/>
        <w:ind w:firstLine="560"/>
        <w:rPr>
          <w:rFonts w:ascii="仿宋" w:hAnsi="仿宋" w:eastAsia="仿宋"/>
        </w:rPr>
      </w:pPr>
      <w:r>
        <w:rPr>
          <w:rFonts w:ascii="仿宋" w:hAnsi="仿宋" w:eastAsia="仿宋"/>
        </w:rPr>
        <w:t>敷设电气线路的沟道以及保护管、电缆或钢管在穿过爆炸危险环境等级不同的区域之间的隔墙或楼板时，应用非燃性材料严密堵塞。</w:t>
      </w:r>
    </w:p>
    <w:p>
      <w:pPr>
        <w:pStyle w:val="4"/>
        <w:ind w:firstLine="560"/>
        <w:rPr>
          <w:rFonts w:ascii="仿宋" w:hAnsi="仿宋" w:eastAsia="仿宋"/>
        </w:rPr>
      </w:pPr>
      <w:r>
        <w:rPr>
          <w:rFonts w:ascii="仿宋" w:hAnsi="仿宋" w:eastAsia="仿宋"/>
        </w:rPr>
        <w:t>电缆配线的保护管管口与电缆之间，应使用密封胶泥进行密封。在两级区域交界处的电缆沟内应充砂、填阻火材料或加设防火隔墙。</w:t>
      </w:r>
    </w:p>
    <w:p>
      <w:pPr>
        <w:snapToGrid w:val="0"/>
        <w:spacing w:line="500" w:lineRule="exact"/>
        <w:ind w:leftChars="0" w:right="280" w:firstLine="0" w:firstLineChars="0"/>
        <w:rPr>
          <w:rFonts w:ascii="仿宋" w:hAnsi="仿宋" w:eastAsia="仿宋"/>
          <w:b/>
          <w:szCs w:val="28"/>
        </w:rPr>
      </w:pPr>
      <w:r>
        <w:rPr>
          <w:rFonts w:ascii="仿宋" w:hAnsi="仿宋" w:eastAsia="仿宋"/>
          <w:b/>
          <w:szCs w:val="28"/>
        </w:rPr>
        <w:t>5.1.2.7消防及火灾报警系统</w:t>
      </w:r>
    </w:p>
    <w:p>
      <w:pPr>
        <w:pStyle w:val="4"/>
        <w:ind w:firstLine="560"/>
        <w:rPr>
          <w:rFonts w:ascii="仿宋" w:hAnsi="仿宋" w:eastAsia="仿宋"/>
        </w:rPr>
      </w:pPr>
      <w:r>
        <w:rPr>
          <w:rFonts w:ascii="仿宋" w:hAnsi="仿宋" w:eastAsia="仿宋"/>
        </w:rPr>
        <w:t>全厂区已配备必要的消防设施，包括消火栓、灭火器等。</w:t>
      </w:r>
    </w:p>
    <w:p>
      <w:pPr>
        <w:pStyle w:val="4"/>
        <w:ind w:firstLine="560"/>
        <w:rPr>
          <w:rFonts w:ascii="仿宋" w:hAnsi="仿宋" w:eastAsia="仿宋"/>
        </w:rPr>
      </w:pPr>
      <w:r>
        <w:rPr>
          <w:rFonts w:ascii="仿宋" w:hAnsi="仿宋" w:eastAsia="仿宋"/>
        </w:rPr>
        <w:t>雨水</w:t>
      </w:r>
      <w:r>
        <w:rPr>
          <w:rFonts w:hint="eastAsia" w:ascii="仿宋" w:hAnsi="仿宋" w:eastAsia="仿宋"/>
        </w:rPr>
        <w:t>、</w:t>
      </w:r>
      <w:r>
        <w:rPr>
          <w:rFonts w:ascii="仿宋" w:hAnsi="仿宋" w:eastAsia="仿宋"/>
        </w:rPr>
        <w:t>污水排口设置截流阀，发生泄露、火灾或爆炸事故时，泄露物事故伴生、次生消防水流入雨水收集系统或污水收集系统，紧急关闭截流阀，可将泄露物、消防水截流在雨水收集系统或污水收集系统内</w:t>
      </w:r>
      <w:r>
        <w:rPr>
          <w:rFonts w:hint="eastAsia" w:ascii="仿宋" w:hAnsi="仿宋" w:eastAsia="仿宋"/>
        </w:rPr>
        <w:t>，</w:t>
      </w:r>
      <w:r>
        <w:rPr>
          <w:rFonts w:ascii="仿宋" w:hAnsi="仿宋" w:eastAsia="仿宋"/>
        </w:rPr>
        <w:t>整个雨水收集系统或污水收集系统不能容纳伴生、次生污水时，则通过系统泵，将伴生、次生污水打入</w:t>
      </w:r>
      <w:r>
        <w:rPr>
          <w:rFonts w:hint="eastAsia" w:ascii="仿宋" w:hAnsi="仿宋" w:eastAsia="仿宋"/>
        </w:rPr>
        <w:t>事故应急池</w:t>
      </w:r>
      <w:r>
        <w:rPr>
          <w:rFonts w:ascii="仿宋" w:hAnsi="仿宋" w:eastAsia="仿宋"/>
        </w:rPr>
        <w:t>，不会使得污染水进入市政污水和雨水管网。</w:t>
      </w:r>
    </w:p>
    <w:p>
      <w:pPr>
        <w:snapToGrid w:val="0"/>
        <w:spacing w:line="500" w:lineRule="exact"/>
        <w:ind w:leftChars="0" w:right="280" w:firstLine="0" w:firstLineChars="0"/>
        <w:rPr>
          <w:rFonts w:ascii="仿宋" w:hAnsi="仿宋" w:eastAsia="仿宋"/>
          <w:b/>
          <w:szCs w:val="28"/>
        </w:rPr>
      </w:pPr>
      <w:r>
        <w:rPr>
          <w:rFonts w:ascii="仿宋" w:hAnsi="仿宋" w:eastAsia="仿宋"/>
          <w:b/>
          <w:szCs w:val="28"/>
        </w:rPr>
        <w:t>5.1.2.8强化安全生产和管理</w:t>
      </w:r>
    </w:p>
    <w:p>
      <w:pPr>
        <w:pStyle w:val="4"/>
        <w:ind w:firstLine="560"/>
        <w:rPr>
          <w:rFonts w:ascii="仿宋" w:hAnsi="仿宋" w:eastAsia="仿宋"/>
        </w:rPr>
      </w:pPr>
      <w:r>
        <w:rPr>
          <w:rFonts w:ascii="仿宋" w:hAnsi="仿宋" w:eastAsia="仿宋"/>
        </w:rPr>
        <w:t>在管理上设置专业安全卫生监督机构，建立严格的规章制度和安全生产措施，所有工作人员必须培训上岗，绝不容许引入不安全因素到生产作业中去。</w:t>
      </w:r>
    </w:p>
    <w:p>
      <w:pPr>
        <w:pStyle w:val="4"/>
        <w:ind w:firstLine="560"/>
        <w:rPr>
          <w:rFonts w:ascii="仿宋" w:hAnsi="仿宋" w:eastAsia="仿宋"/>
        </w:rPr>
      </w:pPr>
      <w:r>
        <w:rPr>
          <w:rFonts w:ascii="仿宋" w:hAnsi="仿宋" w:eastAsia="仿宋"/>
        </w:rPr>
        <w:t>采用密封性能良好的阀门、泵等设备和配件；在防爆区域内使用的电气等设备，均需采用相应防爆等级的防爆产品。</w:t>
      </w:r>
    </w:p>
    <w:p>
      <w:pPr>
        <w:pStyle w:val="4"/>
        <w:ind w:firstLine="560"/>
        <w:rPr>
          <w:rFonts w:ascii="仿宋" w:hAnsi="仿宋" w:eastAsia="仿宋"/>
        </w:rPr>
      </w:pPr>
      <w:r>
        <w:rPr>
          <w:rFonts w:ascii="仿宋" w:hAnsi="仿宋" w:eastAsia="仿宋"/>
        </w:rPr>
        <w:t>遵守安全操作规程，严禁在生产区、仓库区明火作业，需要采用电焊作业，需上报主管部门，并作好相应的防护措施。</w:t>
      </w:r>
    </w:p>
    <w:p>
      <w:pPr>
        <w:pStyle w:val="4"/>
        <w:ind w:firstLine="560"/>
        <w:rPr>
          <w:rFonts w:ascii="仿宋" w:hAnsi="仿宋" w:eastAsia="仿宋"/>
        </w:rPr>
      </w:pPr>
      <w:r>
        <w:rPr>
          <w:rFonts w:ascii="仿宋" w:hAnsi="仿宋" w:eastAsia="仿宋"/>
        </w:rPr>
        <w:t>生产区、仓库均设禁止吸烟标志，防止人为吸烟引起明火火灾等事故。物料输送管均需设有防静电装置。</w:t>
      </w:r>
    </w:p>
    <w:p>
      <w:pPr>
        <w:pStyle w:val="3"/>
        <w:rPr>
          <w:rFonts w:ascii="仿宋" w:hAnsi="仿宋" w:eastAsia="仿宋"/>
        </w:rPr>
      </w:pPr>
      <w:bookmarkStart w:id="235" w:name="_Toc4888"/>
      <w:r>
        <w:rPr>
          <w:rFonts w:ascii="仿宋" w:hAnsi="仿宋" w:eastAsia="仿宋"/>
        </w:rPr>
        <w:t>5.2预警行动</w:t>
      </w:r>
      <w:bookmarkEnd w:id="233"/>
      <w:bookmarkEnd w:id="234"/>
      <w:bookmarkEnd w:id="235"/>
    </w:p>
    <w:p>
      <w:pPr>
        <w:spacing w:line="500" w:lineRule="exact"/>
        <w:ind w:leftChars="0" w:right="0" w:rightChars="0" w:firstLine="560"/>
        <w:rPr>
          <w:rFonts w:ascii="仿宋" w:hAnsi="仿宋" w:eastAsia="仿宋"/>
        </w:rPr>
      </w:pPr>
      <w:bookmarkStart w:id="236" w:name="_Toc359419382"/>
      <w:bookmarkStart w:id="237" w:name="_Toc347388998"/>
      <w:bookmarkStart w:id="238" w:name="_Toc347352042"/>
      <w:r>
        <w:rPr>
          <w:rFonts w:hint="eastAsia" w:ascii="仿宋" w:hAnsi="仿宋" w:eastAsia="仿宋"/>
        </w:rPr>
        <w:t>公司建立突发事件预警报告体系，全体员工应当加强各自范围内的危险源的监控，对可能发生安全生产事故和存在安全隐患的重要信息要第一时间汇报。对所取得的外部信息(气象、公共卫生、环境监测等)要及时公布。</w:t>
      </w:r>
    </w:p>
    <w:p>
      <w:pPr>
        <w:spacing w:line="500" w:lineRule="exact"/>
        <w:ind w:leftChars="0" w:right="0" w:rightChars="0" w:firstLine="560"/>
        <w:rPr>
          <w:rFonts w:ascii="仿宋" w:hAnsi="仿宋" w:eastAsia="仿宋"/>
        </w:rPr>
      </w:pPr>
      <w:r>
        <w:rPr>
          <w:rFonts w:hint="eastAsia" w:ascii="仿宋" w:hAnsi="仿宋" w:eastAsia="仿宋"/>
        </w:rPr>
        <w:t>内部信息按照“个人、班组、部门、应急管理办公室”流程，遇有特殊紧急情况时(危及人身安全或存在可能引起机组停役风险)可越级汇报。</w:t>
      </w:r>
    </w:p>
    <w:p>
      <w:pPr>
        <w:spacing w:line="500" w:lineRule="exact"/>
        <w:ind w:leftChars="0" w:right="0" w:rightChars="0" w:firstLine="560"/>
        <w:rPr>
          <w:rFonts w:ascii="仿宋" w:hAnsi="仿宋" w:eastAsia="仿宋"/>
        </w:rPr>
      </w:pPr>
      <w:r>
        <w:rPr>
          <w:rFonts w:hint="eastAsia" w:ascii="仿宋" w:hAnsi="仿宋" w:eastAsia="仿宋"/>
        </w:rPr>
        <w:t>在取得预警信息后，公司应立即成立应急指挥部，指挥部通过正确的分析判断，及时通过手机短信或电话等方式发布预警信息。对于可能发生或已经发生的突发环境污染事件，现场指挥部人员要在立即采取措施控制事态的同时，按紧急信息报送的有关程序规定，在第一时间如实报告钟楼区环保局和常州市环保局，不得迟报、漏报、瞒报和谎报。预警信息发布后，各部门需根据相应事件种类，落实各自职责区域内的管理责任，包括执行各类应急先期安全技术措施、组织应急人员、应急物资到位等。</w:t>
      </w:r>
    </w:p>
    <w:p>
      <w:pPr>
        <w:spacing w:line="500" w:lineRule="exact"/>
        <w:ind w:leftChars="0" w:right="0" w:rightChars="0" w:firstLine="560"/>
        <w:rPr>
          <w:rFonts w:ascii="仿宋" w:hAnsi="仿宋" w:eastAsia="仿宋"/>
        </w:rPr>
      </w:pPr>
      <w:r>
        <w:rPr>
          <w:rFonts w:hint="eastAsia" w:ascii="仿宋" w:hAnsi="仿宋" w:eastAsia="仿宋"/>
        </w:rPr>
        <w:t>根据事件进展情况，在确认不会产生危害的情况下，由公司应急管理办公室通知预警解除。</w:t>
      </w:r>
    </w:p>
    <w:p>
      <w:pPr>
        <w:pStyle w:val="132"/>
        <w:rPr>
          <w:rFonts w:ascii="仿宋" w:hAnsi="仿宋" w:eastAsia="仿宋"/>
        </w:rPr>
      </w:pPr>
      <w:bookmarkStart w:id="239" w:name="_Toc22956"/>
      <w:r>
        <w:rPr>
          <w:rFonts w:ascii="仿宋" w:hAnsi="仿宋" w:eastAsia="仿宋"/>
        </w:rPr>
        <w:t>5.2.1预警分级</w:t>
      </w:r>
      <w:bookmarkEnd w:id="236"/>
      <w:bookmarkEnd w:id="239"/>
    </w:p>
    <w:p>
      <w:pPr>
        <w:pStyle w:val="4"/>
        <w:ind w:firstLine="560"/>
        <w:rPr>
          <w:rFonts w:ascii="仿宋" w:hAnsi="仿宋" w:eastAsia="仿宋"/>
        </w:rPr>
      </w:pPr>
      <w:r>
        <w:rPr>
          <w:rFonts w:ascii="仿宋" w:hAnsi="仿宋" w:eastAsia="仿宋"/>
        </w:rPr>
        <w:t>根据</w:t>
      </w:r>
      <w:r>
        <w:rPr>
          <w:rFonts w:hint="eastAsia" w:ascii="仿宋" w:hAnsi="仿宋" w:eastAsia="仿宋"/>
        </w:rPr>
        <w:t>江</w:t>
      </w:r>
      <w:r>
        <w:rPr>
          <w:rFonts w:hint="eastAsia" w:ascii="仿宋" w:hAnsi="仿宋" w:eastAsia="仿宋"/>
          <w:lang w:eastAsia="zh-CN"/>
        </w:rPr>
        <w:t>西省愚人纳米科技</w:t>
      </w:r>
      <w:r>
        <w:rPr>
          <w:rFonts w:hint="eastAsia" w:ascii="仿宋" w:hAnsi="仿宋" w:eastAsia="仿宋"/>
        </w:rPr>
        <w:t>有限公司</w:t>
      </w:r>
      <w:r>
        <w:rPr>
          <w:rFonts w:ascii="仿宋" w:hAnsi="仿宋" w:eastAsia="仿宋"/>
        </w:rPr>
        <w:t>突发环境污染事件的严重性可分为</w:t>
      </w:r>
      <w:r>
        <w:rPr>
          <w:rFonts w:hint="eastAsia" w:ascii="仿宋" w:hAnsi="仿宋" w:eastAsia="仿宋" w:cs="宋体"/>
        </w:rPr>
        <w:t>Ⅰ</w:t>
      </w:r>
      <w:r>
        <w:rPr>
          <w:rFonts w:ascii="仿宋" w:hAnsi="仿宋" w:eastAsia="仿宋"/>
        </w:rPr>
        <w:t>级（重大）、</w:t>
      </w:r>
      <w:r>
        <w:rPr>
          <w:rFonts w:hint="eastAsia" w:ascii="仿宋" w:hAnsi="仿宋" w:eastAsia="仿宋" w:cs="宋体"/>
        </w:rPr>
        <w:t>Ⅱ</w:t>
      </w:r>
      <w:r>
        <w:rPr>
          <w:rFonts w:ascii="仿宋" w:hAnsi="仿宋" w:eastAsia="仿宋"/>
        </w:rPr>
        <w:t>级（较大）和</w:t>
      </w:r>
      <w:r>
        <w:rPr>
          <w:rFonts w:hint="eastAsia" w:ascii="仿宋" w:hAnsi="仿宋" w:eastAsia="仿宋" w:cs="宋体"/>
        </w:rPr>
        <w:t>Ⅲ</w:t>
      </w:r>
      <w:r>
        <w:rPr>
          <w:rFonts w:ascii="仿宋" w:hAnsi="仿宋" w:eastAsia="仿宋"/>
        </w:rPr>
        <w:t>级（一般）环境事件，依次用红色、橙色和黄色表示。根据事态的发展情况和采取措施的效果，预警级别可以升级、降级或解除。</w:t>
      </w:r>
    </w:p>
    <w:p>
      <w:pPr>
        <w:pStyle w:val="132"/>
        <w:rPr>
          <w:rFonts w:ascii="仿宋" w:hAnsi="仿宋" w:eastAsia="仿宋"/>
        </w:rPr>
      </w:pPr>
      <w:bookmarkStart w:id="240" w:name="_Toc359419383"/>
      <w:bookmarkStart w:id="241" w:name="_Toc28475"/>
      <w:r>
        <w:rPr>
          <w:rFonts w:ascii="仿宋" w:hAnsi="仿宋" w:eastAsia="仿宋"/>
        </w:rPr>
        <w:t>5.2.2预警发布</w:t>
      </w:r>
      <w:bookmarkEnd w:id="240"/>
      <w:bookmarkEnd w:id="241"/>
    </w:p>
    <w:p>
      <w:pPr>
        <w:pStyle w:val="4"/>
        <w:ind w:firstLine="560"/>
        <w:rPr>
          <w:rFonts w:ascii="仿宋" w:hAnsi="仿宋" w:eastAsia="仿宋"/>
        </w:rPr>
      </w:pPr>
      <w:r>
        <w:rPr>
          <w:rFonts w:ascii="仿宋" w:hAnsi="仿宋" w:eastAsia="仿宋"/>
        </w:rPr>
        <w:t>预警信息由企业发布，并上报</w:t>
      </w:r>
      <w:r>
        <w:rPr>
          <w:rFonts w:hint="eastAsia" w:ascii="仿宋" w:hAnsi="仿宋" w:eastAsia="仿宋"/>
          <w:lang w:eastAsia="zh-CN"/>
        </w:rPr>
        <w:t>新干县</w:t>
      </w:r>
      <w:r>
        <w:rPr>
          <w:rFonts w:ascii="仿宋" w:hAnsi="仿宋" w:eastAsia="仿宋"/>
        </w:rPr>
        <w:t>环保局</w:t>
      </w:r>
      <w:r>
        <w:rPr>
          <w:rFonts w:hint="eastAsia" w:ascii="仿宋" w:hAnsi="仿宋" w:eastAsia="仿宋"/>
        </w:rPr>
        <w:t>、</w:t>
      </w:r>
      <w:r>
        <w:rPr>
          <w:rFonts w:hint="eastAsia" w:ascii="仿宋" w:hAnsi="仿宋" w:eastAsia="仿宋"/>
          <w:lang w:eastAsia="zh-CN"/>
        </w:rPr>
        <w:t>新干县盐化产业办公室</w:t>
      </w:r>
      <w:r>
        <w:rPr>
          <w:rFonts w:ascii="仿宋" w:hAnsi="仿宋" w:eastAsia="仿宋"/>
        </w:rPr>
        <w:t>及</w:t>
      </w:r>
      <w:r>
        <w:rPr>
          <w:rFonts w:hint="eastAsia" w:ascii="仿宋" w:hAnsi="仿宋" w:eastAsia="仿宋"/>
        </w:rPr>
        <w:t>企业所在</w:t>
      </w:r>
      <w:r>
        <w:rPr>
          <w:rFonts w:hint="eastAsia" w:ascii="仿宋" w:hAnsi="仿宋" w:eastAsia="仿宋"/>
          <w:lang w:eastAsia="zh-CN"/>
        </w:rPr>
        <w:t>乡镇</w:t>
      </w:r>
      <w:r>
        <w:rPr>
          <w:rFonts w:ascii="仿宋" w:hAnsi="仿宋" w:eastAsia="仿宋"/>
        </w:rPr>
        <w:t>。预警以电话渠道发布</w:t>
      </w:r>
      <w:r>
        <w:rPr>
          <w:rFonts w:hint="eastAsia" w:ascii="仿宋" w:hAnsi="仿宋" w:eastAsia="仿宋"/>
        </w:rPr>
        <w:t>，</w:t>
      </w:r>
      <w:r>
        <w:rPr>
          <w:rFonts w:ascii="仿宋" w:hAnsi="仿宋" w:eastAsia="仿宋"/>
        </w:rPr>
        <w:t>必要时采取人工手段传递预警信息。迅速告知受突发环境污染事件影响的社会群体。</w:t>
      </w:r>
    </w:p>
    <w:p>
      <w:pPr>
        <w:pStyle w:val="132"/>
        <w:rPr>
          <w:rFonts w:ascii="仿宋" w:hAnsi="仿宋" w:eastAsia="仿宋"/>
        </w:rPr>
      </w:pPr>
      <w:bookmarkStart w:id="242" w:name="_Toc359419384"/>
      <w:bookmarkStart w:id="243" w:name="_Toc17561"/>
      <w:r>
        <w:rPr>
          <w:rFonts w:ascii="仿宋" w:hAnsi="仿宋" w:eastAsia="仿宋"/>
        </w:rPr>
        <w:t>5.2.3预警响应</w:t>
      </w:r>
      <w:bookmarkEnd w:id="242"/>
      <w:bookmarkEnd w:id="243"/>
    </w:p>
    <w:p>
      <w:pPr>
        <w:pStyle w:val="4"/>
        <w:ind w:firstLine="560"/>
        <w:rPr>
          <w:rFonts w:ascii="仿宋" w:hAnsi="仿宋" w:eastAsia="仿宋"/>
        </w:rPr>
      </w:pPr>
      <w:r>
        <w:rPr>
          <w:rFonts w:ascii="仿宋" w:hAnsi="仿宋" w:eastAsia="仿宋"/>
        </w:rPr>
        <w:t>进入预警状态后，环境应急指挥部、有关部门应当采取以下措施：</w:t>
      </w:r>
    </w:p>
    <w:p>
      <w:pPr>
        <w:pStyle w:val="4"/>
        <w:ind w:firstLine="560"/>
        <w:rPr>
          <w:rFonts w:ascii="仿宋" w:hAnsi="仿宋" w:eastAsia="仿宋"/>
        </w:rPr>
      </w:pPr>
      <w:r>
        <w:rPr>
          <w:rFonts w:ascii="仿宋" w:hAnsi="仿宋" w:eastAsia="仿宋"/>
        </w:rPr>
        <w:t>（1）立即启动相关应急预案。</w:t>
      </w:r>
    </w:p>
    <w:p>
      <w:pPr>
        <w:pStyle w:val="4"/>
        <w:ind w:firstLine="560"/>
        <w:rPr>
          <w:rFonts w:ascii="仿宋" w:hAnsi="仿宋" w:eastAsia="仿宋"/>
        </w:rPr>
      </w:pPr>
      <w:r>
        <w:rPr>
          <w:rFonts w:ascii="仿宋" w:hAnsi="仿宋" w:eastAsia="仿宋"/>
        </w:rPr>
        <w:t>（2）各环境应急救援队伍进入应急状态，配合环境监测部门立即开展应急监测，随时掌握并报告事态进展情况。</w:t>
      </w:r>
    </w:p>
    <w:p>
      <w:pPr>
        <w:pStyle w:val="4"/>
        <w:ind w:firstLine="560"/>
        <w:rPr>
          <w:rFonts w:ascii="仿宋" w:hAnsi="仿宋" w:eastAsia="仿宋"/>
        </w:rPr>
      </w:pPr>
      <w:r>
        <w:rPr>
          <w:rFonts w:ascii="仿宋" w:hAnsi="仿宋" w:eastAsia="仿宋"/>
        </w:rPr>
        <w:t>（3）转移、撤离或者疏散可能受到危害的人员。</w:t>
      </w:r>
    </w:p>
    <w:p>
      <w:pPr>
        <w:pStyle w:val="4"/>
        <w:ind w:firstLine="560"/>
        <w:rPr>
          <w:rFonts w:ascii="仿宋" w:hAnsi="仿宋" w:eastAsia="仿宋"/>
        </w:rPr>
      </w:pPr>
      <w:r>
        <w:rPr>
          <w:rFonts w:ascii="仿宋" w:hAnsi="仿宋" w:eastAsia="仿宋"/>
        </w:rPr>
        <w:t>（4）针对突发环境污染事件可能造成的危害，封闭、隔离或者限制使用有关场所，终止可能导致危害扩大的行为和活动。</w:t>
      </w:r>
    </w:p>
    <w:p>
      <w:pPr>
        <w:pStyle w:val="4"/>
        <w:ind w:firstLine="560"/>
        <w:rPr>
          <w:rFonts w:ascii="仿宋" w:hAnsi="仿宋" w:eastAsia="仿宋"/>
        </w:rPr>
      </w:pPr>
      <w:r>
        <w:rPr>
          <w:rFonts w:ascii="仿宋" w:hAnsi="仿宋" w:eastAsia="仿宋"/>
        </w:rPr>
        <w:t>（5）对污染危害不大、影响范围较小，尚达不到</w:t>
      </w:r>
      <w:r>
        <w:rPr>
          <w:rFonts w:hint="eastAsia" w:ascii="仿宋" w:hAnsi="仿宋" w:eastAsia="仿宋" w:cs="宋体"/>
        </w:rPr>
        <w:t>Ⅰ</w:t>
      </w:r>
      <w:r>
        <w:rPr>
          <w:rFonts w:ascii="仿宋" w:hAnsi="仿宋" w:eastAsia="仿宋"/>
        </w:rPr>
        <w:t>级的环境事件，由公司相关部门自行处置，并按报告时限上报当地镇政府。</w:t>
      </w:r>
    </w:p>
    <w:p>
      <w:pPr>
        <w:pStyle w:val="3"/>
        <w:rPr>
          <w:rFonts w:ascii="仿宋" w:hAnsi="仿宋" w:eastAsia="仿宋"/>
        </w:rPr>
      </w:pPr>
      <w:bookmarkStart w:id="244" w:name="_Toc19593"/>
      <w:r>
        <w:rPr>
          <w:rFonts w:ascii="仿宋" w:hAnsi="仿宋" w:eastAsia="仿宋"/>
        </w:rPr>
        <w:t>5.3 报警</w:t>
      </w:r>
      <w:r>
        <w:rPr>
          <w:rFonts w:hint="eastAsia" w:ascii="仿宋" w:hAnsi="仿宋" w:eastAsia="仿宋"/>
        </w:rPr>
        <w:t>、</w:t>
      </w:r>
      <w:r>
        <w:rPr>
          <w:rFonts w:ascii="仿宋" w:hAnsi="仿宋" w:eastAsia="仿宋"/>
        </w:rPr>
        <w:t>通讯联络方式</w:t>
      </w:r>
      <w:bookmarkEnd w:id="237"/>
      <w:bookmarkEnd w:id="238"/>
      <w:bookmarkEnd w:id="244"/>
    </w:p>
    <w:p>
      <w:pPr>
        <w:pStyle w:val="4"/>
        <w:ind w:firstLine="560"/>
        <w:rPr>
          <w:rFonts w:ascii="仿宋" w:hAnsi="仿宋" w:eastAsia="仿宋"/>
          <w:kern w:val="0"/>
        </w:rPr>
      </w:pPr>
      <w:r>
        <w:rPr>
          <w:rFonts w:ascii="仿宋" w:hAnsi="仿宋" w:eastAsia="仿宋"/>
        </w:rPr>
        <w:t>内外部联系方式见附件。</w:t>
      </w:r>
    </w:p>
    <w:p>
      <w:pPr>
        <w:snapToGrid w:val="0"/>
        <w:ind w:left="280" w:right="280" w:firstLine="560"/>
        <w:rPr>
          <w:rFonts w:ascii="仿宋" w:hAnsi="仿宋" w:eastAsia="仿宋"/>
          <w:color w:val="FF0000"/>
          <w:kern w:val="0"/>
          <w:szCs w:val="28"/>
        </w:rPr>
      </w:pPr>
    </w:p>
    <w:p>
      <w:pPr>
        <w:pStyle w:val="2"/>
        <w:spacing w:before="0" w:after="0"/>
        <w:rPr>
          <w:rFonts w:ascii="仿宋" w:hAnsi="仿宋" w:eastAsia="仿宋"/>
        </w:rPr>
      </w:pPr>
      <w:bookmarkStart w:id="245" w:name="_Toc361903152"/>
      <w:bookmarkStart w:id="246" w:name="_Toc32268"/>
      <w:bookmarkStart w:id="247" w:name="_Toc347352047"/>
      <w:bookmarkStart w:id="248" w:name="_Toc347389003"/>
      <w:r>
        <w:rPr>
          <w:rFonts w:ascii="仿宋" w:hAnsi="仿宋" w:eastAsia="仿宋"/>
        </w:rPr>
        <w:t>6信息报告与通报</w:t>
      </w:r>
      <w:bookmarkEnd w:id="245"/>
      <w:bookmarkEnd w:id="246"/>
    </w:p>
    <w:p>
      <w:pPr>
        <w:pStyle w:val="4"/>
        <w:ind w:firstLine="560"/>
        <w:rPr>
          <w:rFonts w:ascii="仿宋" w:hAnsi="仿宋" w:eastAsia="仿宋"/>
        </w:rPr>
      </w:pPr>
      <w:r>
        <w:rPr>
          <w:rFonts w:ascii="仿宋" w:hAnsi="仿宋" w:eastAsia="仿宋"/>
        </w:rPr>
        <w:t>依据《国家突发环境事件应急预案》及有关规定，明确信息报告时限和发布的程序、内容和方式。</w:t>
      </w:r>
    </w:p>
    <w:p>
      <w:pPr>
        <w:pStyle w:val="3"/>
        <w:rPr>
          <w:rFonts w:ascii="仿宋" w:hAnsi="仿宋" w:eastAsia="仿宋"/>
        </w:rPr>
      </w:pPr>
      <w:bookmarkStart w:id="249" w:name="_Toc10553"/>
      <w:bookmarkStart w:id="250" w:name="_Toc362010423"/>
      <w:bookmarkStart w:id="251" w:name="_Toc365640130"/>
      <w:r>
        <w:rPr>
          <w:rFonts w:ascii="仿宋" w:hAnsi="仿宋" w:eastAsia="仿宋"/>
        </w:rPr>
        <w:t>6.1内部报告</w:t>
      </w:r>
      <w:bookmarkEnd w:id="249"/>
      <w:bookmarkEnd w:id="250"/>
      <w:bookmarkEnd w:id="251"/>
    </w:p>
    <w:p>
      <w:pPr>
        <w:pStyle w:val="4"/>
        <w:ind w:firstLine="560"/>
        <w:rPr>
          <w:rFonts w:ascii="仿宋" w:hAnsi="仿宋" w:eastAsia="仿宋"/>
        </w:rPr>
      </w:pPr>
      <w:r>
        <w:rPr>
          <w:rFonts w:hint="eastAsia" w:ascii="仿宋" w:hAnsi="仿宋" w:eastAsia="仿宋"/>
        </w:rPr>
        <w:t>Ⅰ级</w:t>
      </w:r>
      <w:r>
        <w:rPr>
          <w:rFonts w:ascii="仿宋" w:hAnsi="仿宋" w:eastAsia="仿宋"/>
        </w:rPr>
        <w:t>突发事件发生后，现场人员应采用电话等方式通知通讯联络组</w:t>
      </w:r>
      <w:r>
        <w:rPr>
          <w:rFonts w:hint="eastAsia" w:ascii="仿宋" w:hAnsi="仿宋" w:eastAsia="仿宋"/>
        </w:rPr>
        <w:t>（</w:t>
      </w:r>
      <w:r>
        <w:rPr>
          <w:rFonts w:ascii="仿宋" w:hAnsi="仿宋" w:eastAsia="仿宋"/>
        </w:rPr>
        <w:t>后勤疏散组</w:t>
      </w:r>
      <w:r>
        <w:rPr>
          <w:rFonts w:hint="eastAsia" w:ascii="仿宋" w:hAnsi="仿宋" w:eastAsia="仿宋"/>
        </w:rPr>
        <w:t>）</w:t>
      </w:r>
      <w:r>
        <w:rPr>
          <w:rFonts w:ascii="仿宋" w:hAnsi="仿宋" w:eastAsia="仿宋"/>
        </w:rPr>
        <w:t>组长</w:t>
      </w:r>
      <w:r>
        <w:rPr>
          <w:rFonts w:hint="eastAsia" w:ascii="仿宋" w:hAnsi="仿宋" w:eastAsia="仿宋"/>
        </w:rPr>
        <w:t>，抢险救援组组长等，</w:t>
      </w:r>
      <w:r>
        <w:rPr>
          <w:rFonts w:ascii="仿宋" w:hAnsi="仿宋" w:eastAsia="仿宋"/>
        </w:rPr>
        <w:t>报告时，应清楚的说明事件发生的地点、事态大小、人员伤亡情况以及危害情况或危害程度。各部门</w:t>
      </w:r>
      <w:r>
        <w:rPr>
          <w:rFonts w:hint="eastAsia" w:ascii="仿宋" w:hAnsi="仿宋" w:eastAsia="仿宋"/>
        </w:rPr>
        <w:t>负责人接到通知后</w:t>
      </w:r>
      <w:r>
        <w:rPr>
          <w:rFonts w:ascii="仿宋" w:hAnsi="仿宋" w:eastAsia="仿宋"/>
        </w:rPr>
        <w:t>根据报告人说明的情况，应立即组织应急救援，同时向副总指挥汇报情况</w:t>
      </w:r>
      <w:r>
        <w:rPr>
          <w:rFonts w:hint="eastAsia" w:ascii="仿宋" w:hAnsi="仿宋" w:eastAsia="仿宋"/>
        </w:rPr>
        <w:t>。</w:t>
      </w:r>
      <w:r>
        <w:rPr>
          <w:rFonts w:ascii="仿宋" w:hAnsi="仿宋" w:eastAsia="仿宋"/>
        </w:rPr>
        <w:t>副总指挥接到事故信息报告后应记录报告时间、对方姓名、双方主要交流内容，并立即组织成立应急指挥部。指挥部应立即将事故情况报总指挥企业负责人，并在保证自身安全的情况下按照现场情况启动应急预案。</w:t>
      </w:r>
    </w:p>
    <w:p>
      <w:pPr>
        <w:pStyle w:val="4"/>
        <w:ind w:firstLine="560"/>
        <w:rPr>
          <w:rFonts w:ascii="仿宋" w:hAnsi="仿宋" w:eastAsia="仿宋"/>
        </w:rPr>
      </w:pPr>
      <w:r>
        <w:rPr>
          <w:rFonts w:hint="eastAsia" w:ascii="仿宋" w:hAnsi="仿宋" w:eastAsia="仿宋"/>
        </w:rPr>
        <w:t>Ⅱ级事故发生后，现场人员通知各部门负责人后，由各部门负责人通知副总指挥，进行相应的应急抢险措施指挥。</w:t>
      </w:r>
    </w:p>
    <w:p>
      <w:pPr>
        <w:pStyle w:val="4"/>
        <w:ind w:firstLine="560"/>
        <w:rPr>
          <w:rFonts w:ascii="仿宋" w:hAnsi="仿宋" w:eastAsia="仿宋"/>
        </w:rPr>
      </w:pPr>
      <w:r>
        <w:rPr>
          <w:rFonts w:hint="eastAsia" w:ascii="仿宋" w:hAnsi="仿宋" w:eastAsia="仿宋"/>
        </w:rPr>
        <w:t>Ⅲ级事故发生后，</w:t>
      </w:r>
      <w:r>
        <w:rPr>
          <w:rFonts w:ascii="仿宋" w:hAnsi="仿宋" w:eastAsia="仿宋"/>
        </w:rPr>
        <w:t>现场人员应采用电话等方式通知通讯联络组</w:t>
      </w:r>
      <w:r>
        <w:rPr>
          <w:rFonts w:hint="eastAsia" w:ascii="仿宋" w:hAnsi="仿宋" w:eastAsia="仿宋"/>
        </w:rPr>
        <w:t>（</w:t>
      </w:r>
      <w:r>
        <w:rPr>
          <w:rFonts w:ascii="仿宋" w:hAnsi="仿宋" w:eastAsia="仿宋"/>
        </w:rPr>
        <w:t>后勤</w:t>
      </w:r>
      <w:r>
        <w:rPr>
          <w:rFonts w:hint="eastAsia" w:ascii="仿宋" w:hAnsi="仿宋" w:eastAsia="仿宋"/>
          <w:lang w:eastAsia="zh-CN"/>
        </w:rPr>
        <w:t>保障</w:t>
      </w:r>
      <w:r>
        <w:rPr>
          <w:rFonts w:ascii="仿宋" w:hAnsi="仿宋" w:eastAsia="仿宋"/>
        </w:rPr>
        <w:t>组</w:t>
      </w:r>
      <w:r>
        <w:rPr>
          <w:rFonts w:hint="eastAsia" w:ascii="仿宋" w:hAnsi="仿宋" w:eastAsia="仿宋"/>
        </w:rPr>
        <w:t>）</w:t>
      </w:r>
      <w:r>
        <w:rPr>
          <w:rFonts w:ascii="仿宋" w:hAnsi="仿宋" w:eastAsia="仿宋"/>
        </w:rPr>
        <w:t>组长</w:t>
      </w:r>
      <w:r>
        <w:rPr>
          <w:rFonts w:hint="eastAsia" w:ascii="仿宋" w:hAnsi="仿宋" w:eastAsia="仿宋"/>
        </w:rPr>
        <w:t>，</w:t>
      </w:r>
      <w:r>
        <w:rPr>
          <w:rFonts w:hint="eastAsia" w:ascii="仿宋" w:hAnsi="仿宋" w:eastAsia="仿宋"/>
          <w:lang w:eastAsia="zh-CN"/>
        </w:rPr>
        <w:t>应急</w:t>
      </w:r>
      <w:r>
        <w:rPr>
          <w:rFonts w:hint="eastAsia" w:ascii="仿宋" w:hAnsi="仿宋" w:eastAsia="仿宋"/>
        </w:rPr>
        <w:t>抢险组组长等，</w:t>
      </w:r>
      <w:r>
        <w:rPr>
          <w:rFonts w:ascii="仿宋" w:hAnsi="仿宋" w:eastAsia="仿宋"/>
        </w:rPr>
        <w:t>报告时，应清楚的说明事件发生的地点、事态大小、人员伤亡情况以及危害情况或危害程度。各部门负责人直接处理事故</w:t>
      </w:r>
      <w:r>
        <w:rPr>
          <w:rFonts w:hint="eastAsia" w:ascii="仿宋" w:hAnsi="仿宋" w:eastAsia="仿宋"/>
        </w:rPr>
        <w:t>。</w:t>
      </w:r>
    </w:p>
    <w:p>
      <w:pPr>
        <w:pStyle w:val="4"/>
        <w:ind w:firstLine="560"/>
        <w:rPr>
          <w:rFonts w:ascii="仿宋" w:hAnsi="仿宋" w:eastAsia="仿宋"/>
        </w:rPr>
      </w:pPr>
      <w:r>
        <w:rPr>
          <w:rFonts w:ascii="仿宋" w:hAnsi="仿宋" w:eastAsia="仿宋"/>
        </w:rPr>
        <w:t>公司应急指挥部人员联系方式见附件。</w:t>
      </w:r>
    </w:p>
    <w:p>
      <w:pPr>
        <w:pStyle w:val="3"/>
        <w:rPr>
          <w:rFonts w:ascii="仿宋" w:hAnsi="仿宋" w:eastAsia="仿宋"/>
        </w:rPr>
      </w:pPr>
      <w:bookmarkStart w:id="252" w:name="_Toc362010424"/>
      <w:bookmarkStart w:id="253" w:name="_Toc21887"/>
      <w:bookmarkStart w:id="254" w:name="_Toc365640131"/>
      <w:r>
        <w:rPr>
          <w:rFonts w:ascii="仿宋" w:hAnsi="仿宋" w:eastAsia="仿宋"/>
        </w:rPr>
        <w:t>6.2信息上报</w:t>
      </w:r>
      <w:bookmarkEnd w:id="252"/>
      <w:bookmarkEnd w:id="253"/>
      <w:bookmarkEnd w:id="254"/>
    </w:p>
    <w:p>
      <w:pPr>
        <w:pStyle w:val="4"/>
        <w:ind w:firstLine="560"/>
        <w:rPr>
          <w:rFonts w:ascii="仿宋" w:hAnsi="仿宋" w:eastAsia="仿宋"/>
        </w:rPr>
      </w:pPr>
      <w:r>
        <w:rPr>
          <w:rFonts w:ascii="仿宋" w:hAnsi="仿宋" w:eastAsia="仿宋"/>
        </w:rPr>
        <w:t>企业负责人接到事故报告后，应当立即启动事故相应应急预案，或者采取有效措施，组织抢救，防止事故扩大，减少人员伤亡和财产损失，同时按照事故报告管理相关规定向</w:t>
      </w:r>
      <w:r>
        <w:rPr>
          <w:rFonts w:hint="eastAsia" w:ascii="仿宋" w:hAnsi="仿宋" w:eastAsia="仿宋"/>
          <w:lang w:eastAsia="zh-CN"/>
        </w:rPr>
        <w:t>大洋洲镇政府</w:t>
      </w:r>
      <w:r>
        <w:rPr>
          <w:rFonts w:hint="eastAsia" w:ascii="仿宋" w:hAnsi="仿宋" w:eastAsia="仿宋"/>
        </w:rPr>
        <w:t>、</w:t>
      </w:r>
      <w:r>
        <w:rPr>
          <w:rFonts w:hint="eastAsia" w:ascii="仿宋" w:hAnsi="仿宋" w:eastAsia="仿宋"/>
          <w:lang w:eastAsia="zh-CN"/>
        </w:rPr>
        <w:t>新干县盐化产业办公室</w:t>
      </w:r>
      <w:r>
        <w:rPr>
          <w:rFonts w:hint="eastAsia" w:ascii="仿宋" w:hAnsi="仿宋" w:eastAsia="仿宋"/>
        </w:rPr>
        <w:t>、</w:t>
      </w:r>
      <w:r>
        <w:rPr>
          <w:rFonts w:hint="eastAsia" w:ascii="仿宋" w:hAnsi="仿宋" w:eastAsia="仿宋"/>
          <w:lang w:eastAsia="zh-CN"/>
        </w:rPr>
        <w:t>新干县</w:t>
      </w:r>
      <w:r>
        <w:rPr>
          <w:rFonts w:ascii="仿宋" w:hAnsi="仿宋" w:eastAsia="仿宋"/>
        </w:rPr>
        <w:t>环保局</w:t>
      </w:r>
      <w:r>
        <w:rPr>
          <w:rFonts w:hint="eastAsia" w:ascii="仿宋" w:hAnsi="仿宋" w:eastAsia="仿宋"/>
        </w:rPr>
        <w:t>、</w:t>
      </w:r>
      <w:r>
        <w:rPr>
          <w:rFonts w:ascii="仿宋" w:hAnsi="仿宋" w:eastAsia="仿宋"/>
        </w:rPr>
        <w:t>当地政府等有关部门报告。</w:t>
      </w:r>
    </w:p>
    <w:p>
      <w:pPr>
        <w:pStyle w:val="3"/>
        <w:rPr>
          <w:rFonts w:ascii="仿宋" w:hAnsi="仿宋" w:eastAsia="仿宋"/>
        </w:rPr>
      </w:pPr>
      <w:bookmarkStart w:id="255" w:name="_Toc362010425"/>
      <w:bookmarkStart w:id="256" w:name="_Toc365640132"/>
      <w:bookmarkStart w:id="257" w:name="_Toc16505"/>
      <w:r>
        <w:rPr>
          <w:rFonts w:ascii="仿宋" w:hAnsi="仿宋" w:eastAsia="仿宋"/>
        </w:rPr>
        <w:t>6.3信息通报</w:t>
      </w:r>
      <w:bookmarkEnd w:id="255"/>
      <w:bookmarkEnd w:id="256"/>
      <w:bookmarkEnd w:id="257"/>
    </w:p>
    <w:p>
      <w:pPr>
        <w:pStyle w:val="4"/>
        <w:ind w:firstLine="560"/>
        <w:rPr>
          <w:rFonts w:ascii="仿宋" w:hAnsi="仿宋" w:eastAsia="仿宋"/>
        </w:rPr>
      </w:pPr>
      <w:r>
        <w:rPr>
          <w:rFonts w:ascii="仿宋" w:hAnsi="仿宋" w:eastAsia="仿宋"/>
        </w:rPr>
        <w:t>信息通报主要由电话联系方式进行，主要及时通知周边企业及社会群体</w:t>
      </w:r>
      <w:r>
        <w:rPr>
          <w:rFonts w:hint="eastAsia" w:ascii="仿宋" w:hAnsi="仿宋" w:eastAsia="仿宋"/>
        </w:rPr>
        <w:t>，组织疏散，同时</w:t>
      </w:r>
      <w:r>
        <w:rPr>
          <w:rFonts w:ascii="仿宋" w:hAnsi="仿宋" w:eastAsia="仿宋"/>
        </w:rPr>
        <w:t>向110及地方环保部门报告。</w:t>
      </w:r>
    </w:p>
    <w:p>
      <w:pPr>
        <w:pStyle w:val="3"/>
        <w:rPr>
          <w:rFonts w:ascii="仿宋" w:hAnsi="仿宋" w:eastAsia="仿宋"/>
        </w:rPr>
      </w:pPr>
      <w:bookmarkStart w:id="258" w:name="_Toc365640133"/>
      <w:bookmarkStart w:id="259" w:name="_Toc362010426"/>
      <w:bookmarkStart w:id="260" w:name="_Toc1179"/>
      <w:r>
        <w:rPr>
          <w:rFonts w:ascii="仿宋" w:hAnsi="仿宋" w:eastAsia="仿宋"/>
        </w:rPr>
        <w:t>6.4事件报告内容</w:t>
      </w:r>
      <w:bookmarkEnd w:id="258"/>
      <w:bookmarkEnd w:id="259"/>
      <w:bookmarkEnd w:id="260"/>
    </w:p>
    <w:p>
      <w:pPr>
        <w:pStyle w:val="4"/>
        <w:ind w:firstLine="560"/>
        <w:rPr>
          <w:rFonts w:ascii="仿宋" w:hAnsi="仿宋" w:eastAsia="仿宋"/>
        </w:rPr>
      </w:pPr>
      <w:r>
        <w:rPr>
          <w:rFonts w:ascii="仿宋" w:hAnsi="仿宋" w:eastAsia="仿宋"/>
        </w:rPr>
        <w:t>报告事故应当包括下列内容：</w:t>
      </w:r>
    </w:p>
    <w:p>
      <w:pPr>
        <w:pStyle w:val="4"/>
        <w:ind w:firstLine="560"/>
        <w:rPr>
          <w:rFonts w:ascii="仿宋" w:hAnsi="仿宋" w:eastAsia="仿宋"/>
        </w:rPr>
      </w:pPr>
      <w:r>
        <w:rPr>
          <w:rFonts w:hint="eastAsia" w:ascii="仿宋" w:hAnsi="仿宋" w:eastAsia="仿宋"/>
        </w:rPr>
        <w:t>（1）事故发生单位概况；</w:t>
      </w:r>
    </w:p>
    <w:p>
      <w:pPr>
        <w:pStyle w:val="4"/>
        <w:ind w:firstLine="560"/>
        <w:rPr>
          <w:rFonts w:ascii="仿宋" w:hAnsi="仿宋" w:eastAsia="仿宋"/>
        </w:rPr>
      </w:pPr>
      <w:r>
        <w:rPr>
          <w:rFonts w:hint="eastAsia" w:ascii="仿宋" w:hAnsi="仿宋" w:eastAsia="仿宋"/>
        </w:rPr>
        <w:t>（2）事故发生的时间、地点以及事故现场情况；</w:t>
      </w:r>
    </w:p>
    <w:p>
      <w:pPr>
        <w:pStyle w:val="4"/>
        <w:ind w:firstLine="560"/>
        <w:rPr>
          <w:rFonts w:ascii="仿宋" w:hAnsi="仿宋" w:eastAsia="仿宋"/>
        </w:rPr>
      </w:pPr>
      <w:r>
        <w:rPr>
          <w:rFonts w:hint="eastAsia" w:ascii="仿宋" w:hAnsi="仿宋" w:eastAsia="仿宋"/>
        </w:rPr>
        <w:t>（3）事故的简要经过；</w:t>
      </w:r>
    </w:p>
    <w:p>
      <w:pPr>
        <w:pStyle w:val="4"/>
        <w:ind w:firstLine="560"/>
        <w:rPr>
          <w:rFonts w:ascii="仿宋" w:hAnsi="仿宋" w:eastAsia="仿宋"/>
        </w:rPr>
      </w:pPr>
      <w:r>
        <w:rPr>
          <w:rFonts w:hint="eastAsia" w:ascii="仿宋" w:hAnsi="仿宋" w:eastAsia="仿宋"/>
        </w:rPr>
        <w:t>（4）事故已经造成或者可能造成的伤亡人数(包括下落不明的人数)和初步估计的直接经济损失；</w:t>
      </w:r>
    </w:p>
    <w:p>
      <w:pPr>
        <w:pStyle w:val="4"/>
        <w:ind w:firstLine="560"/>
        <w:rPr>
          <w:rFonts w:ascii="仿宋" w:hAnsi="仿宋" w:eastAsia="仿宋"/>
        </w:rPr>
      </w:pPr>
      <w:r>
        <w:rPr>
          <w:rFonts w:hint="eastAsia" w:ascii="仿宋" w:hAnsi="仿宋" w:eastAsia="仿宋"/>
        </w:rPr>
        <w:t>（5）已经采取的措施；</w:t>
      </w:r>
    </w:p>
    <w:p>
      <w:pPr>
        <w:pStyle w:val="4"/>
        <w:ind w:firstLine="560"/>
        <w:rPr>
          <w:rFonts w:ascii="仿宋" w:hAnsi="仿宋" w:eastAsia="仿宋"/>
          <w:color w:val="FF0000"/>
          <w:szCs w:val="28"/>
        </w:rPr>
      </w:pPr>
      <w:r>
        <w:rPr>
          <w:rFonts w:hint="eastAsia" w:ascii="仿宋" w:hAnsi="仿宋" w:eastAsia="仿宋"/>
        </w:rPr>
        <w:t>（6）其他应当报告的情况。</w:t>
      </w:r>
    </w:p>
    <w:p>
      <w:pPr>
        <w:pStyle w:val="2"/>
        <w:rPr>
          <w:rFonts w:ascii="仿宋" w:hAnsi="仿宋" w:eastAsia="仿宋"/>
        </w:rPr>
      </w:pPr>
      <w:bookmarkStart w:id="261" w:name="_Toc27571"/>
      <w:r>
        <w:rPr>
          <w:rFonts w:ascii="仿宋" w:hAnsi="仿宋" w:eastAsia="仿宋"/>
        </w:rPr>
        <w:t>7应急响应与措施</w:t>
      </w:r>
      <w:bookmarkEnd w:id="247"/>
      <w:bookmarkEnd w:id="248"/>
      <w:bookmarkEnd w:id="261"/>
    </w:p>
    <w:p>
      <w:pPr>
        <w:pStyle w:val="3"/>
        <w:rPr>
          <w:rFonts w:ascii="仿宋" w:hAnsi="仿宋" w:eastAsia="仿宋"/>
        </w:rPr>
      </w:pPr>
      <w:bookmarkStart w:id="262" w:name="_Toc347352048"/>
      <w:bookmarkStart w:id="263" w:name="_Toc347389004"/>
      <w:bookmarkStart w:id="264" w:name="_Toc5092"/>
      <w:r>
        <w:rPr>
          <w:rFonts w:ascii="仿宋" w:hAnsi="仿宋" w:eastAsia="仿宋"/>
        </w:rPr>
        <w:t>7.1分级响应机制</w:t>
      </w:r>
      <w:bookmarkEnd w:id="262"/>
      <w:bookmarkEnd w:id="263"/>
      <w:bookmarkEnd w:id="264"/>
    </w:p>
    <w:p>
      <w:pPr>
        <w:pStyle w:val="132"/>
        <w:rPr>
          <w:rFonts w:ascii="仿宋" w:hAnsi="仿宋" w:eastAsia="仿宋"/>
        </w:rPr>
      </w:pPr>
      <w:bookmarkStart w:id="265" w:name="_Toc359419393"/>
      <w:bookmarkStart w:id="266" w:name="_Toc23318"/>
      <w:r>
        <w:rPr>
          <w:rFonts w:ascii="仿宋" w:hAnsi="仿宋" w:eastAsia="仿宋"/>
        </w:rPr>
        <w:t>7.1.1分级响应</w:t>
      </w:r>
      <w:bookmarkEnd w:id="265"/>
      <w:r>
        <w:rPr>
          <w:rFonts w:ascii="仿宋" w:hAnsi="仿宋" w:eastAsia="仿宋"/>
        </w:rPr>
        <w:t>条件</w:t>
      </w:r>
      <w:bookmarkEnd w:id="266"/>
    </w:p>
    <w:p>
      <w:pPr>
        <w:pStyle w:val="4"/>
        <w:ind w:firstLine="560"/>
        <w:rPr>
          <w:rFonts w:ascii="仿宋" w:hAnsi="仿宋" w:eastAsia="仿宋"/>
        </w:rPr>
      </w:pPr>
      <w:bookmarkStart w:id="267" w:name="_Toc359419394"/>
      <w:r>
        <w:rPr>
          <w:rFonts w:hint="eastAsia" w:ascii="仿宋" w:hAnsi="仿宋" w:eastAsia="仿宋"/>
        </w:rPr>
        <w:t>Ⅲ级环境事件由生产车间内部处理，Ⅱ级及以下环境事件由企业相关部门自行处置，Ⅰ级事件由企业负责处理。事件超出本级应急处置能力时，请求上一级应急救援指挥机构处理。</w:t>
      </w:r>
    </w:p>
    <w:p>
      <w:pPr>
        <w:pStyle w:val="132"/>
        <w:rPr>
          <w:rFonts w:ascii="仿宋" w:hAnsi="仿宋" w:eastAsia="仿宋"/>
        </w:rPr>
      </w:pPr>
      <w:bookmarkStart w:id="268" w:name="_Toc32155"/>
      <w:r>
        <w:rPr>
          <w:rFonts w:ascii="仿宋" w:hAnsi="仿宋" w:eastAsia="仿宋"/>
        </w:rPr>
        <w:t>7.1.2分级响应</w:t>
      </w:r>
      <w:bookmarkEnd w:id="267"/>
      <w:r>
        <w:rPr>
          <w:rFonts w:ascii="仿宋" w:hAnsi="仿宋" w:eastAsia="仿宋"/>
        </w:rPr>
        <w:t>机制</w:t>
      </w:r>
      <w:bookmarkEnd w:id="268"/>
    </w:p>
    <w:p>
      <w:pPr>
        <w:pStyle w:val="4"/>
        <w:ind w:firstLine="560"/>
        <w:rPr>
          <w:rFonts w:ascii="仿宋" w:hAnsi="仿宋" w:eastAsia="仿宋"/>
        </w:rPr>
      </w:pPr>
      <w:r>
        <w:rPr>
          <w:rFonts w:ascii="仿宋" w:hAnsi="仿宋" w:eastAsia="仿宋"/>
        </w:rPr>
        <w:t>在生产过程中，当发生</w:t>
      </w:r>
      <w:r>
        <w:rPr>
          <w:rFonts w:hint="eastAsia" w:ascii="仿宋" w:hAnsi="仿宋" w:eastAsia="仿宋"/>
        </w:rPr>
        <w:t>Ⅲ</w:t>
      </w:r>
      <w:r>
        <w:rPr>
          <w:rFonts w:ascii="仿宋" w:hAnsi="仿宋" w:eastAsia="仿宋"/>
        </w:rPr>
        <w:t>级事件时，车间内岗位操作人员立即向主管经理汇报并采取相应措施。</w:t>
      </w:r>
    </w:p>
    <w:p>
      <w:pPr>
        <w:pStyle w:val="4"/>
        <w:ind w:firstLine="560"/>
        <w:rPr>
          <w:rFonts w:ascii="仿宋" w:hAnsi="仿宋" w:eastAsia="仿宋"/>
        </w:rPr>
      </w:pPr>
      <w:r>
        <w:rPr>
          <w:rFonts w:ascii="仿宋" w:hAnsi="仿宋" w:eastAsia="仿宋"/>
        </w:rPr>
        <w:t>当发生</w:t>
      </w:r>
      <w:r>
        <w:rPr>
          <w:rFonts w:hint="eastAsia" w:ascii="仿宋" w:hAnsi="仿宋" w:eastAsia="仿宋"/>
        </w:rPr>
        <w:t>Ⅱ</w:t>
      </w:r>
      <w:r>
        <w:rPr>
          <w:rFonts w:ascii="仿宋" w:hAnsi="仿宋" w:eastAsia="仿宋"/>
        </w:rPr>
        <w:t>级事件时，及时向</w:t>
      </w:r>
      <w:r>
        <w:rPr>
          <w:rFonts w:hint="eastAsia" w:ascii="仿宋" w:hAnsi="仿宋" w:eastAsia="仿宋"/>
        </w:rPr>
        <w:t>总经理（总指挥）</w:t>
      </w:r>
      <w:r>
        <w:rPr>
          <w:rFonts w:ascii="仿宋" w:hAnsi="仿宋" w:eastAsia="仿宋"/>
        </w:rPr>
        <w:t>报告；</w:t>
      </w:r>
      <w:r>
        <w:rPr>
          <w:rFonts w:hint="eastAsia" w:ascii="仿宋" w:hAnsi="仿宋" w:eastAsia="仿宋"/>
        </w:rPr>
        <w:t>总</w:t>
      </w:r>
      <w:r>
        <w:rPr>
          <w:rFonts w:ascii="仿宋" w:hAnsi="仿宋" w:eastAsia="仿宋"/>
        </w:rPr>
        <w:t>经理在接到报告后，立即通知公司应急救援领导小组，启动公司突发环境污染事件应急预案，且负责开展应急救援工作。</w:t>
      </w:r>
    </w:p>
    <w:p>
      <w:pPr>
        <w:pStyle w:val="4"/>
        <w:ind w:firstLine="560"/>
        <w:rPr>
          <w:rFonts w:ascii="仿宋" w:hAnsi="仿宋" w:eastAsia="仿宋"/>
        </w:rPr>
      </w:pPr>
      <w:r>
        <w:rPr>
          <w:rFonts w:ascii="仿宋" w:hAnsi="仿宋" w:eastAsia="仿宋"/>
        </w:rPr>
        <w:t>当厂内事故达到</w:t>
      </w:r>
      <w:r>
        <w:rPr>
          <w:rFonts w:hint="eastAsia" w:ascii="仿宋" w:hAnsi="仿宋" w:eastAsia="仿宋"/>
        </w:rPr>
        <w:t>Ⅰ</w:t>
      </w:r>
      <w:r>
        <w:rPr>
          <w:rFonts w:ascii="仿宋" w:hAnsi="仿宋" w:eastAsia="仿宋"/>
        </w:rPr>
        <w:t>级事件时，现场人员应立即通知公司应急救援领导小组，启动公司突发环境污染事件应急预案，由总指挥负责开展应急救援工作。同时通知公司所在</w:t>
      </w:r>
      <w:r>
        <w:rPr>
          <w:rFonts w:hint="eastAsia" w:ascii="仿宋" w:hAnsi="仿宋" w:eastAsia="仿宋"/>
          <w:lang w:eastAsia="zh-CN"/>
        </w:rPr>
        <w:t>乡镇</w:t>
      </w:r>
      <w:r>
        <w:rPr>
          <w:rFonts w:ascii="仿宋" w:hAnsi="仿宋" w:eastAsia="仿宋"/>
        </w:rPr>
        <w:t>、</w:t>
      </w:r>
      <w:r>
        <w:rPr>
          <w:rFonts w:hint="eastAsia" w:ascii="仿宋" w:hAnsi="仿宋" w:eastAsia="仿宋"/>
        </w:rPr>
        <w:t>公安局</w:t>
      </w:r>
      <w:r>
        <w:rPr>
          <w:rFonts w:ascii="仿宋" w:hAnsi="仿宋" w:eastAsia="仿宋"/>
        </w:rPr>
        <w:t>、环保局、卫生局等上级领导机关报告事故情况</w:t>
      </w:r>
      <w:r>
        <w:rPr>
          <w:rFonts w:hint="eastAsia" w:ascii="仿宋" w:hAnsi="仿宋" w:eastAsia="仿宋"/>
        </w:rPr>
        <w:t>。Ⅰ</w:t>
      </w:r>
      <w:r>
        <w:rPr>
          <w:rFonts w:ascii="仿宋" w:hAnsi="仿宋" w:eastAsia="仿宋"/>
        </w:rPr>
        <w:t>级或事件超出本级应急处置能力时，请求上一级应急救援指挥机构处理</w:t>
      </w:r>
      <w:r>
        <w:rPr>
          <w:rFonts w:hint="eastAsia" w:ascii="仿宋" w:hAnsi="仿宋" w:eastAsia="仿宋"/>
        </w:rPr>
        <w:t>，</w:t>
      </w:r>
      <w:r>
        <w:rPr>
          <w:rFonts w:ascii="仿宋" w:hAnsi="仿宋" w:eastAsia="仿宋"/>
        </w:rPr>
        <w:t>报请</w:t>
      </w:r>
      <w:r>
        <w:rPr>
          <w:rFonts w:hint="eastAsia" w:ascii="仿宋" w:hAnsi="仿宋" w:eastAsia="仿宋"/>
        </w:rPr>
        <w:t>当地</w:t>
      </w:r>
      <w:r>
        <w:rPr>
          <w:rFonts w:ascii="仿宋" w:hAnsi="仿宋" w:eastAsia="仿宋"/>
        </w:rPr>
        <w:t>政府启动当地突发环境污染事件应急预案。</w:t>
      </w:r>
    </w:p>
    <w:p>
      <w:pPr>
        <w:pStyle w:val="4"/>
        <w:ind w:firstLine="560"/>
        <w:rPr>
          <w:rFonts w:ascii="仿宋" w:hAnsi="仿宋" w:eastAsia="仿宋"/>
        </w:rPr>
      </w:pPr>
      <w:r>
        <w:rPr>
          <w:rFonts w:ascii="仿宋" w:hAnsi="仿宋" w:eastAsia="仿宋"/>
        </w:rPr>
        <w:t>发生突发事件后，各有关部门和各应急机构成员要按照快速反应、统一指挥、协调配合的原则，迅速开展救援处置工作。</w:t>
      </w:r>
    </w:p>
    <w:p>
      <w:pPr>
        <w:pStyle w:val="3"/>
        <w:rPr>
          <w:rFonts w:ascii="仿宋" w:hAnsi="仿宋" w:eastAsia="仿宋"/>
        </w:rPr>
      </w:pPr>
      <w:bookmarkStart w:id="269" w:name="_Toc18285"/>
      <w:r>
        <w:rPr>
          <w:rFonts w:ascii="仿宋" w:hAnsi="仿宋" w:eastAsia="仿宋"/>
        </w:rPr>
        <w:t>7.2应急措施</w:t>
      </w:r>
      <w:bookmarkEnd w:id="269"/>
    </w:p>
    <w:p>
      <w:pPr>
        <w:pStyle w:val="132"/>
        <w:rPr>
          <w:rFonts w:ascii="仿宋" w:hAnsi="仿宋" w:eastAsia="仿宋"/>
        </w:rPr>
      </w:pPr>
      <w:bookmarkStart w:id="270" w:name="_Toc359419396"/>
      <w:bookmarkStart w:id="271" w:name="_Toc358716455"/>
      <w:bookmarkStart w:id="272" w:name="_Toc18630"/>
      <w:r>
        <w:rPr>
          <w:rFonts w:ascii="仿宋" w:hAnsi="仿宋" w:eastAsia="仿宋"/>
        </w:rPr>
        <w:t>7.2.1现场应急措施</w:t>
      </w:r>
      <w:bookmarkEnd w:id="270"/>
      <w:bookmarkEnd w:id="271"/>
      <w:bookmarkEnd w:id="272"/>
    </w:p>
    <w:p>
      <w:pPr>
        <w:pStyle w:val="4"/>
        <w:ind w:firstLine="560"/>
        <w:rPr>
          <w:rFonts w:ascii="仿宋" w:hAnsi="仿宋" w:eastAsia="仿宋"/>
        </w:rPr>
      </w:pPr>
      <w:r>
        <w:rPr>
          <w:rFonts w:hint="eastAsia" w:ascii="仿宋" w:hAnsi="仿宋" w:eastAsia="仿宋"/>
        </w:rPr>
        <w:t>根据前文分析可知，本公司的突发环境事故类型主要为：贮存区的物料泄漏事故。一旦发生突发环境事故具体的应急措施如下：</w:t>
      </w:r>
    </w:p>
    <w:p>
      <w:pPr>
        <w:pStyle w:val="4"/>
        <w:ind w:firstLine="560"/>
        <w:rPr>
          <w:rFonts w:ascii="仿宋" w:hAnsi="仿宋" w:eastAsia="仿宋"/>
        </w:rPr>
      </w:pPr>
      <w:r>
        <w:rPr>
          <w:rFonts w:hint="eastAsia" w:ascii="仿宋" w:hAnsi="仿宋" w:eastAsia="仿宋"/>
        </w:rPr>
        <w:t>1.贮存区的物料泄漏事故</w:t>
      </w:r>
    </w:p>
    <w:p>
      <w:pPr>
        <w:pStyle w:val="4"/>
        <w:ind w:firstLine="560"/>
        <w:rPr>
          <w:rFonts w:ascii="仿宋" w:hAnsi="仿宋" w:eastAsia="仿宋"/>
        </w:rPr>
      </w:pPr>
      <w:r>
        <w:rPr>
          <w:rFonts w:hint="eastAsia" w:ascii="仿宋" w:hAnsi="仿宋" w:eastAsia="仿宋"/>
        </w:rPr>
        <w:t>（1）对泄漏点的应急处理</w:t>
      </w:r>
    </w:p>
    <w:p>
      <w:pPr>
        <w:pStyle w:val="4"/>
        <w:ind w:firstLine="560"/>
        <w:rPr>
          <w:rFonts w:ascii="仿宋" w:hAnsi="仿宋" w:eastAsia="仿宋"/>
        </w:rPr>
      </w:pPr>
      <w:r>
        <w:rPr>
          <w:rFonts w:hint="eastAsia" w:ascii="仿宋" w:hAnsi="仿宋" w:eastAsia="仿宋"/>
        </w:rPr>
        <w:t>①</w:t>
      </w:r>
      <w:r>
        <w:rPr>
          <w:rFonts w:ascii="仿宋" w:hAnsi="仿宋" w:eastAsia="仿宋"/>
        </w:rPr>
        <w:t>迅速撤离泄漏污染区人员至安全区，严格限制出入。现场人员必须立即在保护好自身安全条件下检查事故部位，并立即打报警电话或直接向指挥部报警。报告事故地点、时间、泄漏物名称、数量及事故性质、危害程度、有无人员伤亡及报警人。</w:t>
      </w:r>
    </w:p>
    <w:p>
      <w:pPr>
        <w:pStyle w:val="4"/>
        <w:ind w:firstLine="560"/>
        <w:rPr>
          <w:rFonts w:ascii="仿宋" w:hAnsi="仿宋" w:eastAsia="仿宋"/>
        </w:rPr>
      </w:pPr>
      <w:r>
        <w:rPr>
          <w:rFonts w:hint="eastAsia" w:ascii="仿宋" w:hAnsi="仿宋" w:eastAsia="仿宋"/>
        </w:rPr>
        <w:t>②如发现生产区存在大量泄漏时，立即向上级如车间主任汇报，车间主任立即对泄漏现场设置隔离带，严格限制出入，同时向公司应急救援指挥部汇报情形。同时</w:t>
      </w:r>
      <w:r>
        <w:rPr>
          <w:rFonts w:ascii="仿宋" w:hAnsi="仿宋" w:eastAsia="仿宋"/>
          <w:szCs w:val="28"/>
        </w:rPr>
        <w:t>可构筑围堤或挖坑收容；用泡沫覆盖，降低蒸汽灾害；事后转移至专用收集器内，回收或运至废物处理场所处置</w:t>
      </w:r>
      <w:r>
        <w:rPr>
          <w:rFonts w:hint="eastAsia" w:ascii="仿宋" w:hAnsi="仿宋" w:eastAsia="仿宋"/>
          <w:szCs w:val="28"/>
        </w:rPr>
        <w:t>。</w:t>
      </w:r>
    </w:p>
    <w:p>
      <w:pPr>
        <w:pStyle w:val="4"/>
        <w:ind w:firstLine="560"/>
        <w:rPr>
          <w:rFonts w:ascii="仿宋" w:hAnsi="仿宋" w:eastAsia="仿宋"/>
        </w:rPr>
      </w:pPr>
      <w:r>
        <w:rPr>
          <w:rFonts w:ascii="仿宋" w:hAnsi="仿宋" w:eastAsia="仿宋"/>
        </w:rPr>
        <w:fldChar w:fldCharType="begin"/>
      </w:r>
      <w:r>
        <w:rPr>
          <w:rFonts w:hint="eastAsia" w:ascii="仿宋" w:hAnsi="仿宋" w:eastAsia="仿宋"/>
        </w:rPr>
        <w:instrText xml:space="preserve">= 3 \* GB3</w:instrText>
      </w:r>
      <w:r>
        <w:rPr>
          <w:rFonts w:ascii="仿宋" w:hAnsi="仿宋" w:eastAsia="仿宋"/>
        </w:rPr>
        <w:fldChar w:fldCharType="separate"/>
      </w:r>
      <w:r>
        <w:rPr>
          <w:rFonts w:hint="eastAsia" w:ascii="仿宋" w:hAnsi="仿宋" w:eastAsia="仿宋"/>
        </w:rPr>
        <w:t>③</w:t>
      </w:r>
      <w:r>
        <w:rPr>
          <w:rFonts w:ascii="仿宋" w:hAnsi="仿宋" w:eastAsia="仿宋"/>
        </w:rPr>
        <w:fldChar w:fldCharType="end"/>
      </w:r>
      <w:r>
        <w:rPr>
          <w:rFonts w:hint="eastAsia" w:ascii="仿宋" w:hAnsi="仿宋" w:eastAsia="仿宋"/>
        </w:rPr>
        <w:t>因工作失误造成原料桶破损，立即堵住原料桶破裂口，用砂土之类惰性材料覆盖泄漏物，集中进行处理，也可用大量水冲洗或酸碱中和，洗水进入事故应急池，用泵打回贮槽由本公司处理处置。</w:t>
      </w:r>
    </w:p>
    <w:p>
      <w:pPr>
        <w:pStyle w:val="4"/>
        <w:ind w:firstLine="560"/>
        <w:rPr>
          <w:rFonts w:ascii="仿宋" w:hAnsi="仿宋" w:eastAsia="仿宋"/>
        </w:rPr>
      </w:pPr>
      <w:r>
        <w:rPr>
          <w:rFonts w:hint="eastAsia" w:ascii="仿宋" w:hAnsi="仿宋" w:eastAsia="仿宋"/>
        </w:rPr>
        <w:t>（2）对泄漏物的应急处理</w:t>
      </w:r>
    </w:p>
    <w:p>
      <w:pPr>
        <w:pStyle w:val="4"/>
        <w:ind w:firstLine="560"/>
        <w:rPr>
          <w:rFonts w:ascii="仿宋" w:hAnsi="仿宋" w:eastAsia="仿宋"/>
        </w:rPr>
      </w:pPr>
      <w:r>
        <w:rPr>
          <w:rFonts w:hint="eastAsia" w:ascii="仿宋" w:hAnsi="仿宋" w:eastAsia="仿宋"/>
        </w:rPr>
        <w:t>主要可能的泄漏物为硫酸、盐酸以及其他液态物料。具体泄漏处置应急措施见下列各表。</w:t>
      </w:r>
    </w:p>
    <w:p>
      <w:pPr>
        <w:pStyle w:val="4"/>
        <w:tabs>
          <w:tab w:val="left" w:pos="2010"/>
        </w:tabs>
        <w:ind w:firstLine="0" w:firstLineChars="0"/>
        <w:jc w:val="center"/>
        <w:rPr>
          <w:rFonts w:ascii="仿宋" w:hAnsi="仿宋" w:eastAsia="仿宋"/>
          <w:b/>
          <w:sz w:val="24"/>
        </w:rPr>
      </w:pPr>
      <w:r>
        <w:rPr>
          <w:rFonts w:ascii="仿宋" w:hAnsi="仿宋" w:eastAsia="仿宋"/>
          <w:b/>
          <w:sz w:val="24"/>
        </w:rPr>
        <w:t>表7</w:t>
      </w:r>
      <w:r>
        <w:rPr>
          <w:rFonts w:hint="eastAsia" w:ascii="仿宋" w:hAnsi="仿宋" w:eastAsia="仿宋"/>
          <w:b/>
          <w:sz w:val="24"/>
        </w:rPr>
        <w:t>.2</w:t>
      </w:r>
      <w:r>
        <w:rPr>
          <w:rFonts w:ascii="仿宋" w:hAnsi="仿宋" w:eastAsia="仿宋"/>
          <w:b/>
          <w:sz w:val="24"/>
        </w:rPr>
        <w:t>-1</w:t>
      </w:r>
      <w:r>
        <w:rPr>
          <w:rFonts w:hint="eastAsia" w:ascii="仿宋" w:hAnsi="仿宋" w:eastAsia="仿宋"/>
          <w:b/>
          <w:sz w:val="24"/>
        </w:rPr>
        <w:t xml:space="preserve">  酸</w:t>
      </w:r>
      <w:r>
        <w:rPr>
          <w:rFonts w:ascii="仿宋" w:hAnsi="仿宋" w:eastAsia="仿宋"/>
          <w:b/>
          <w:sz w:val="24"/>
        </w:rPr>
        <w:t>泄漏处置应急措施</w:t>
      </w:r>
    </w:p>
    <w:tbl>
      <w:tblPr>
        <w:tblStyle w:val="39"/>
        <w:tblW w:w="928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5"/>
        <w:gridCol w:w="796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325" w:type="dxa"/>
            <w:vAlign w:val="center"/>
          </w:tcPr>
          <w:p>
            <w:pPr>
              <w:pStyle w:val="42"/>
              <w:snapToGrid w:val="0"/>
              <w:ind w:leftChars="0" w:right="0" w:rightChars="0" w:firstLine="0" w:firstLineChars="0"/>
              <w:rPr>
                <w:rFonts w:ascii="仿宋" w:hAnsi="仿宋" w:eastAsia="仿宋"/>
                <w:sz w:val="21"/>
                <w:szCs w:val="21"/>
              </w:rPr>
            </w:pPr>
            <w:r>
              <w:rPr>
                <w:rFonts w:ascii="仿宋" w:hAnsi="仿宋" w:eastAsia="仿宋"/>
                <w:sz w:val="21"/>
                <w:szCs w:val="21"/>
              </w:rPr>
              <w:t>泄漏处置</w:t>
            </w:r>
          </w:p>
        </w:tc>
        <w:tc>
          <w:tcPr>
            <w:tcW w:w="7963" w:type="dxa"/>
            <w:vAlign w:val="center"/>
          </w:tcPr>
          <w:p>
            <w:pPr>
              <w:pStyle w:val="42"/>
              <w:snapToGrid w:val="0"/>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应急处理：迅速撤离泄漏污染区人员至</w:t>
            </w:r>
            <w:r>
              <w:fldChar w:fldCharType="begin"/>
            </w:r>
            <w:r>
              <w:instrText xml:space="preserve"> HYPERLINK "http://baike.baidu.com/view/3869483.htm" \t "_blank" </w:instrText>
            </w:r>
            <w:r>
              <w:fldChar w:fldCharType="separate"/>
            </w:r>
            <w:r>
              <w:rPr>
                <w:rFonts w:ascii="仿宋" w:hAnsi="仿宋" w:eastAsia="仿宋"/>
                <w:kern w:val="0"/>
                <w:sz w:val="21"/>
                <w:szCs w:val="21"/>
              </w:rPr>
              <w:t>安全区</w:t>
            </w:r>
            <w:r>
              <w:rPr>
                <w:rFonts w:ascii="仿宋" w:hAnsi="仿宋" w:eastAsia="仿宋"/>
                <w:kern w:val="0"/>
                <w:sz w:val="21"/>
                <w:szCs w:val="21"/>
              </w:rPr>
              <w:fldChar w:fldCharType="end"/>
            </w:r>
            <w:r>
              <w:rPr>
                <w:rFonts w:ascii="仿宋" w:hAnsi="仿宋" w:eastAsia="仿宋"/>
                <w:kern w:val="0"/>
                <w:sz w:val="21"/>
                <w:szCs w:val="21"/>
              </w:rPr>
              <w:t>，并进行隔离，严格限制出入。建议应急处理人员戴自给</w:t>
            </w:r>
            <w:r>
              <w:fldChar w:fldCharType="begin"/>
            </w:r>
            <w:r>
              <w:instrText xml:space="preserve"> HYPERLINK "http://baike.baidu.com/view/2445591.htm" \t "_blank" </w:instrText>
            </w:r>
            <w:r>
              <w:fldChar w:fldCharType="separate"/>
            </w:r>
            <w:r>
              <w:rPr>
                <w:rFonts w:ascii="仿宋" w:hAnsi="仿宋" w:eastAsia="仿宋"/>
                <w:kern w:val="0"/>
                <w:sz w:val="21"/>
                <w:szCs w:val="21"/>
              </w:rPr>
              <w:t>正压式呼吸器</w:t>
            </w:r>
            <w:r>
              <w:rPr>
                <w:rFonts w:ascii="仿宋" w:hAnsi="仿宋" w:eastAsia="仿宋"/>
                <w:kern w:val="0"/>
                <w:sz w:val="21"/>
                <w:szCs w:val="21"/>
              </w:rPr>
              <w:fldChar w:fldCharType="end"/>
            </w:r>
            <w:r>
              <w:rPr>
                <w:rFonts w:ascii="仿宋" w:hAnsi="仿宋" w:eastAsia="仿宋"/>
                <w:kern w:val="0"/>
                <w:sz w:val="21"/>
                <w:szCs w:val="21"/>
              </w:rPr>
              <w:t>，穿防酸碱工作服。不要直接接触泄漏物。尽可能切断泄漏源。</w:t>
            </w:r>
          </w:p>
          <w:p>
            <w:pPr>
              <w:pStyle w:val="42"/>
              <w:snapToGrid w:val="0"/>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小量泄漏：用砂土、干燥</w:t>
            </w:r>
            <w:r>
              <w:fldChar w:fldCharType="begin"/>
            </w:r>
            <w:r>
              <w:instrText xml:space="preserve"> HYPERLINK "http://baike.baidu.com/view/56293.htm" \t "_blank" </w:instrText>
            </w:r>
            <w:r>
              <w:fldChar w:fldCharType="separate"/>
            </w:r>
            <w:r>
              <w:rPr>
                <w:rFonts w:ascii="仿宋" w:hAnsi="仿宋" w:eastAsia="仿宋"/>
                <w:kern w:val="0"/>
                <w:sz w:val="21"/>
                <w:szCs w:val="21"/>
              </w:rPr>
              <w:t>石灰</w:t>
            </w:r>
            <w:r>
              <w:rPr>
                <w:rFonts w:ascii="仿宋" w:hAnsi="仿宋" w:eastAsia="仿宋"/>
                <w:kern w:val="0"/>
                <w:sz w:val="21"/>
                <w:szCs w:val="21"/>
              </w:rPr>
              <w:fldChar w:fldCharType="end"/>
            </w:r>
            <w:r>
              <w:rPr>
                <w:rFonts w:ascii="仿宋" w:hAnsi="仿宋" w:eastAsia="仿宋"/>
                <w:kern w:val="0"/>
                <w:sz w:val="21"/>
                <w:szCs w:val="21"/>
              </w:rPr>
              <w:t>或苏打灰混合。也可以用大量水冲洗，清水稀释后放入</w:t>
            </w:r>
            <w:r>
              <w:fldChar w:fldCharType="begin"/>
            </w:r>
            <w:r>
              <w:instrText xml:space="preserve"> HYPERLINK "http://baike.baidu.com/view/640312.htm" \t "_blank" </w:instrText>
            </w:r>
            <w:r>
              <w:fldChar w:fldCharType="separate"/>
            </w:r>
            <w:r>
              <w:rPr>
                <w:rFonts w:ascii="仿宋" w:hAnsi="仿宋" w:eastAsia="仿宋"/>
                <w:kern w:val="0"/>
                <w:sz w:val="21"/>
                <w:szCs w:val="21"/>
              </w:rPr>
              <w:t>废水</w:t>
            </w:r>
            <w:r>
              <w:rPr>
                <w:rFonts w:ascii="仿宋" w:hAnsi="仿宋" w:eastAsia="仿宋"/>
                <w:kern w:val="0"/>
                <w:sz w:val="21"/>
                <w:szCs w:val="21"/>
              </w:rPr>
              <w:fldChar w:fldCharType="end"/>
            </w:r>
            <w:r>
              <w:rPr>
                <w:rFonts w:ascii="仿宋" w:hAnsi="仿宋" w:eastAsia="仿宋"/>
                <w:kern w:val="0"/>
                <w:sz w:val="21"/>
                <w:szCs w:val="21"/>
              </w:rPr>
              <w:t>系统。</w:t>
            </w:r>
          </w:p>
          <w:p>
            <w:pPr>
              <w:pStyle w:val="42"/>
              <w:snapToGrid w:val="0"/>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大量泄漏：构筑围堤或挖坑收容。用泵转移至</w:t>
            </w:r>
            <w:r>
              <w:fldChar w:fldCharType="begin"/>
            </w:r>
            <w:r>
              <w:instrText xml:space="preserve"> HYPERLINK "http://baike.baidu.com/view/388957.htm" \t "_blank" </w:instrText>
            </w:r>
            <w:r>
              <w:fldChar w:fldCharType="separate"/>
            </w:r>
            <w:r>
              <w:rPr>
                <w:rFonts w:ascii="仿宋" w:hAnsi="仿宋" w:eastAsia="仿宋"/>
                <w:kern w:val="0"/>
                <w:sz w:val="21"/>
                <w:szCs w:val="21"/>
              </w:rPr>
              <w:t>槽车</w:t>
            </w:r>
            <w:r>
              <w:rPr>
                <w:rFonts w:ascii="仿宋" w:hAnsi="仿宋" w:eastAsia="仿宋"/>
                <w:kern w:val="0"/>
                <w:sz w:val="21"/>
                <w:szCs w:val="21"/>
              </w:rPr>
              <w:fldChar w:fldCharType="end"/>
            </w:r>
            <w:r>
              <w:rPr>
                <w:rFonts w:ascii="仿宋" w:hAnsi="仿宋" w:eastAsia="仿宋"/>
                <w:kern w:val="0"/>
                <w:sz w:val="21"/>
                <w:szCs w:val="21"/>
              </w:rPr>
              <w:t>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325" w:type="dxa"/>
            <w:vAlign w:val="center"/>
          </w:tcPr>
          <w:p>
            <w:pPr>
              <w:pStyle w:val="42"/>
              <w:snapToGrid w:val="0"/>
              <w:ind w:leftChars="0" w:right="0" w:rightChars="0" w:firstLine="0" w:firstLineChars="0"/>
              <w:rPr>
                <w:rFonts w:ascii="仿宋" w:hAnsi="仿宋" w:eastAsia="仿宋"/>
                <w:sz w:val="21"/>
                <w:szCs w:val="21"/>
              </w:rPr>
            </w:pPr>
            <w:r>
              <w:rPr>
                <w:rFonts w:ascii="仿宋" w:hAnsi="仿宋" w:eastAsia="仿宋"/>
                <w:sz w:val="21"/>
                <w:szCs w:val="21"/>
              </w:rPr>
              <w:t>防护措施</w:t>
            </w:r>
          </w:p>
        </w:tc>
        <w:tc>
          <w:tcPr>
            <w:tcW w:w="7963" w:type="dxa"/>
            <w:vAlign w:val="center"/>
          </w:tcPr>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呼吸系统防护：可能接触其蒸气或烟雾时，必须佩戴防毒面具或供气式头盔。紧急事态抢救或逃生时，建议佩带自给式呼吸器。</w:t>
            </w:r>
          </w:p>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眼睛防护：戴化学安全防护眼镜。</w:t>
            </w:r>
          </w:p>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防护服：穿工作服(防腐材料制作)。</w:t>
            </w:r>
          </w:p>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手防护：戴橡皮手套。</w:t>
            </w:r>
          </w:p>
          <w:p>
            <w:pPr>
              <w:pStyle w:val="42"/>
              <w:snapToGrid w:val="0"/>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其它：工作后，淋浴更衣。单独存放被毒物污染的衣服，洗后再用。保持良好的卫生习惯。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325" w:type="dxa"/>
            <w:vAlign w:val="center"/>
          </w:tcPr>
          <w:p>
            <w:pPr>
              <w:pStyle w:val="42"/>
              <w:snapToGrid w:val="0"/>
              <w:ind w:leftChars="0" w:right="0" w:rightChars="0" w:firstLine="0" w:firstLineChars="0"/>
              <w:rPr>
                <w:rFonts w:ascii="仿宋" w:hAnsi="仿宋" w:eastAsia="仿宋"/>
                <w:sz w:val="21"/>
                <w:szCs w:val="21"/>
              </w:rPr>
            </w:pPr>
            <w:r>
              <w:rPr>
                <w:rFonts w:ascii="仿宋" w:hAnsi="仿宋" w:eastAsia="仿宋"/>
                <w:sz w:val="21"/>
                <w:szCs w:val="21"/>
              </w:rPr>
              <w:t>急救措施</w:t>
            </w:r>
          </w:p>
        </w:tc>
        <w:tc>
          <w:tcPr>
            <w:tcW w:w="7963" w:type="dxa"/>
            <w:vAlign w:val="center"/>
          </w:tcPr>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皮肤接触：立即脱去污染的衣着，用大量流动清水冲洗至少15分钟，可涂抹</w:t>
            </w:r>
            <w:r>
              <w:fldChar w:fldCharType="begin"/>
            </w:r>
            <w:r>
              <w:instrText xml:space="preserve"> HYPERLINK "http://baike.baidu.com/view/1821109.htm" \t "_blank" </w:instrText>
            </w:r>
            <w:r>
              <w:fldChar w:fldCharType="separate"/>
            </w:r>
            <w:r>
              <w:rPr>
                <w:rFonts w:ascii="仿宋" w:hAnsi="仿宋" w:eastAsia="仿宋"/>
                <w:kern w:val="0"/>
                <w:sz w:val="21"/>
                <w:szCs w:val="21"/>
              </w:rPr>
              <w:t>弱碱性</w:t>
            </w:r>
            <w:r>
              <w:rPr>
                <w:rFonts w:ascii="仿宋" w:hAnsi="仿宋" w:eastAsia="仿宋"/>
                <w:kern w:val="0"/>
                <w:sz w:val="21"/>
                <w:szCs w:val="21"/>
              </w:rPr>
              <w:fldChar w:fldCharType="end"/>
            </w:r>
            <w:r>
              <w:rPr>
                <w:rFonts w:ascii="仿宋" w:hAnsi="仿宋" w:eastAsia="仿宋"/>
                <w:kern w:val="0"/>
                <w:sz w:val="21"/>
                <w:szCs w:val="21"/>
              </w:rPr>
              <w:t>物质（如碱水、肥皂水等），就医。</w:t>
            </w:r>
          </w:p>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眼睛接触： 立即提起</w:t>
            </w:r>
            <w:r>
              <w:fldChar w:fldCharType="begin"/>
            </w:r>
            <w:r>
              <w:instrText xml:space="preserve"> HYPERLINK "http://baike.baidu.com/view/24590.htm" \t "_blank" </w:instrText>
            </w:r>
            <w:r>
              <w:fldChar w:fldCharType="separate"/>
            </w:r>
            <w:r>
              <w:rPr>
                <w:rFonts w:ascii="仿宋" w:hAnsi="仿宋" w:eastAsia="仿宋"/>
                <w:kern w:val="0"/>
                <w:sz w:val="21"/>
                <w:szCs w:val="21"/>
              </w:rPr>
              <w:t>眼睑</w:t>
            </w:r>
            <w:r>
              <w:rPr>
                <w:rFonts w:ascii="仿宋" w:hAnsi="仿宋" w:eastAsia="仿宋"/>
                <w:kern w:val="0"/>
                <w:sz w:val="21"/>
                <w:szCs w:val="21"/>
              </w:rPr>
              <w:fldChar w:fldCharType="end"/>
            </w:r>
            <w:r>
              <w:rPr>
                <w:rFonts w:ascii="仿宋" w:hAnsi="仿宋" w:eastAsia="仿宋"/>
                <w:kern w:val="0"/>
                <w:sz w:val="21"/>
                <w:szCs w:val="21"/>
              </w:rPr>
              <w:t>，用大量流动清水或</w:t>
            </w:r>
            <w:r>
              <w:fldChar w:fldCharType="begin"/>
            </w:r>
            <w:r>
              <w:instrText xml:space="preserve"> HYPERLINK "http://baike.baidu.com/view/77884.htm" \t "_blank" </w:instrText>
            </w:r>
            <w:r>
              <w:fldChar w:fldCharType="separate"/>
            </w:r>
            <w:r>
              <w:rPr>
                <w:rFonts w:ascii="仿宋" w:hAnsi="仿宋" w:eastAsia="仿宋"/>
                <w:kern w:val="0"/>
                <w:sz w:val="21"/>
                <w:szCs w:val="21"/>
              </w:rPr>
              <w:t>生理盐水</w:t>
            </w:r>
            <w:r>
              <w:rPr>
                <w:rFonts w:ascii="仿宋" w:hAnsi="仿宋" w:eastAsia="仿宋"/>
                <w:kern w:val="0"/>
                <w:sz w:val="21"/>
                <w:szCs w:val="21"/>
              </w:rPr>
              <w:fldChar w:fldCharType="end"/>
            </w:r>
            <w:r>
              <w:rPr>
                <w:rFonts w:ascii="仿宋" w:hAnsi="仿宋" w:eastAsia="仿宋"/>
                <w:kern w:val="0"/>
                <w:sz w:val="21"/>
                <w:szCs w:val="21"/>
              </w:rPr>
              <w:t>彻底冲洗至少15分钟。就医。</w:t>
            </w:r>
          </w:p>
          <w:p>
            <w:pPr>
              <w:pStyle w:val="42"/>
              <w:ind w:leftChars="0" w:right="0" w:rightChars="0" w:firstLine="0" w:firstLineChars="0"/>
              <w:jc w:val="both"/>
              <w:rPr>
                <w:rFonts w:ascii="仿宋" w:hAnsi="仿宋" w:eastAsia="仿宋"/>
                <w:kern w:val="0"/>
                <w:sz w:val="21"/>
                <w:szCs w:val="21"/>
              </w:rPr>
            </w:pPr>
            <w:r>
              <w:rPr>
                <w:rFonts w:ascii="仿宋" w:hAnsi="仿宋" w:eastAsia="仿宋"/>
                <w:kern w:val="0"/>
                <w:sz w:val="21"/>
                <w:szCs w:val="21"/>
              </w:rPr>
              <w:t>吸入：迅速脱离现场至空气新鲜处。保持</w:t>
            </w:r>
            <w:r>
              <w:fldChar w:fldCharType="begin"/>
            </w:r>
            <w:r>
              <w:instrText xml:space="preserve"> HYPERLINK "http://baike.baidu.com/view/140758.htm" \t "_blank" </w:instrText>
            </w:r>
            <w:r>
              <w:fldChar w:fldCharType="separate"/>
            </w:r>
            <w:r>
              <w:rPr>
                <w:rFonts w:ascii="仿宋" w:hAnsi="仿宋" w:eastAsia="仿宋"/>
                <w:kern w:val="0"/>
                <w:sz w:val="21"/>
                <w:szCs w:val="21"/>
              </w:rPr>
              <w:t>呼吸道</w:t>
            </w:r>
            <w:r>
              <w:rPr>
                <w:rFonts w:ascii="仿宋" w:hAnsi="仿宋" w:eastAsia="仿宋"/>
                <w:kern w:val="0"/>
                <w:sz w:val="21"/>
                <w:szCs w:val="21"/>
              </w:rPr>
              <w:fldChar w:fldCharType="end"/>
            </w:r>
            <w:r>
              <w:rPr>
                <w:rFonts w:ascii="仿宋" w:hAnsi="仿宋" w:eastAsia="仿宋"/>
                <w:kern w:val="0"/>
                <w:sz w:val="21"/>
                <w:szCs w:val="21"/>
              </w:rPr>
              <w:t>通畅。如</w:t>
            </w:r>
            <w:r>
              <w:fldChar w:fldCharType="begin"/>
            </w:r>
            <w:r>
              <w:instrText xml:space="preserve"> HYPERLINK "http://baike.baidu.com/view/140763.htm" \t "_blank" </w:instrText>
            </w:r>
            <w:r>
              <w:fldChar w:fldCharType="separate"/>
            </w:r>
            <w:r>
              <w:rPr>
                <w:rFonts w:ascii="仿宋" w:hAnsi="仿宋" w:eastAsia="仿宋"/>
                <w:kern w:val="0"/>
                <w:sz w:val="21"/>
                <w:szCs w:val="21"/>
              </w:rPr>
              <w:t>呼吸困难</w:t>
            </w:r>
            <w:r>
              <w:rPr>
                <w:rFonts w:ascii="仿宋" w:hAnsi="仿宋" w:eastAsia="仿宋"/>
                <w:kern w:val="0"/>
                <w:sz w:val="21"/>
                <w:szCs w:val="21"/>
              </w:rPr>
              <w:fldChar w:fldCharType="end"/>
            </w:r>
            <w:r>
              <w:rPr>
                <w:rFonts w:ascii="仿宋" w:hAnsi="仿宋" w:eastAsia="仿宋"/>
                <w:kern w:val="0"/>
                <w:sz w:val="21"/>
                <w:szCs w:val="21"/>
              </w:rPr>
              <w:t>，给输氧。如呼吸停止，立即进行</w:t>
            </w:r>
            <w:r>
              <w:fldChar w:fldCharType="begin"/>
            </w:r>
            <w:r>
              <w:instrText xml:space="preserve"> HYPERLINK "http://baike.baidu.com/view/19731.htm" \t "_blank" </w:instrText>
            </w:r>
            <w:r>
              <w:fldChar w:fldCharType="separate"/>
            </w:r>
            <w:r>
              <w:rPr>
                <w:rFonts w:ascii="仿宋" w:hAnsi="仿宋" w:eastAsia="仿宋"/>
                <w:kern w:val="0"/>
                <w:sz w:val="21"/>
                <w:szCs w:val="21"/>
              </w:rPr>
              <w:t>人工呼吸</w:t>
            </w:r>
            <w:r>
              <w:rPr>
                <w:rFonts w:ascii="仿宋" w:hAnsi="仿宋" w:eastAsia="仿宋"/>
                <w:kern w:val="0"/>
                <w:sz w:val="21"/>
                <w:szCs w:val="21"/>
              </w:rPr>
              <w:fldChar w:fldCharType="end"/>
            </w:r>
            <w:r>
              <w:rPr>
                <w:rFonts w:ascii="仿宋" w:hAnsi="仿宋" w:eastAsia="仿宋"/>
                <w:kern w:val="0"/>
                <w:sz w:val="21"/>
                <w:szCs w:val="21"/>
              </w:rPr>
              <w:t>。就医。</w:t>
            </w:r>
          </w:p>
          <w:p>
            <w:pPr>
              <w:pStyle w:val="42"/>
              <w:ind w:leftChars="0" w:right="0" w:rightChars="0" w:firstLine="0" w:firstLineChars="0"/>
              <w:jc w:val="both"/>
              <w:rPr>
                <w:rFonts w:ascii="仿宋" w:hAnsi="仿宋" w:eastAsia="仿宋"/>
                <w:sz w:val="21"/>
                <w:szCs w:val="21"/>
              </w:rPr>
            </w:pPr>
            <w:r>
              <w:rPr>
                <w:rFonts w:ascii="仿宋" w:hAnsi="仿宋" w:eastAsia="仿宋"/>
                <w:kern w:val="0"/>
                <w:sz w:val="21"/>
                <w:szCs w:val="21"/>
              </w:rPr>
              <w:t>食入：用大量水漱口，吞服大量生鸡蛋清或牛奶（禁止服用小苏打等药品），就医。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325" w:type="dxa"/>
            <w:vAlign w:val="center"/>
          </w:tcPr>
          <w:p>
            <w:pPr>
              <w:pStyle w:val="42"/>
              <w:snapToGrid w:val="0"/>
              <w:ind w:leftChars="0" w:right="0" w:rightChars="0" w:firstLine="0" w:firstLineChars="0"/>
              <w:rPr>
                <w:rFonts w:ascii="仿宋" w:hAnsi="仿宋" w:eastAsia="仿宋"/>
                <w:sz w:val="21"/>
                <w:szCs w:val="21"/>
              </w:rPr>
            </w:pPr>
            <w:r>
              <w:rPr>
                <w:rFonts w:hint="eastAsia" w:ascii="仿宋" w:hAnsi="仿宋" w:eastAsia="仿宋"/>
                <w:sz w:val="21"/>
                <w:szCs w:val="21"/>
              </w:rPr>
              <w:t>消防措施</w:t>
            </w:r>
          </w:p>
        </w:tc>
        <w:tc>
          <w:tcPr>
            <w:tcW w:w="7963" w:type="dxa"/>
            <w:vAlign w:val="center"/>
          </w:tcPr>
          <w:p>
            <w:pPr>
              <w:pStyle w:val="42"/>
              <w:ind w:leftChars="0" w:right="0" w:rightChars="0" w:firstLine="0" w:firstLineChars="0"/>
              <w:jc w:val="both"/>
              <w:rPr>
                <w:rFonts w:ascii="仿宋" w:hAnsi="仿宋" w:eastAsia="仿宋"/>
                <w:kern w:val="0"/>
                <w:sz w:val="21"/>
                <w:szCs w:val="21"/>
              </w:rPr>
            </w:pPr>
            <w:r>
              <w:rPr>
                <w:rFonts w:hint="eastAsia" w:ascii="仿宋" w:hAnsi="仿宋" w:eastAsia="仿宋"/>
                <w:kern w:val="0"/>
                <w:sz w:val="21"/>
                <w:szCs w:val="21"/>
              </w:rPr>
              <w:t>危险特性：能与一些活性金属粉末发生反应, 放出氢气。遇氰化物能产生剧毒的氰化氢气体。与碱发生中合反应，并放出大量的热。具有较强的腐蚀性。</w:t>
            </w:r>
          </w:p>
          <w:p>
            <w:pPr>
              <w:pStyle w:val="42"/>
              <w:ind w:leftChars="0" w:right="0" w:rightChars="0" w:firstLine="0" w:firstLineChars="0"/>
              <w:jc w:val="both"/>
              <w:rPr>
                <w:rFonts w:ascii="仿宋" w:hAnsi="仿宋" w:eastAsia="仿宋"/>
                <w:kern w:val="0"/>
                <w:sz w:val="21"/>
                <w:szCs w:val="21"/>
              </w:rPr>
            </w:pPr>
            <w:r>
              <w:rPr>
                <w:rFonts w:hint="eastAsia" w:ascii="仿宋" w:hAnsi="仿宋" w:eastAsia="仿宋"/>
                <w:kern w:val="0"/>
                <w:sz w:val="21"/>
                <w:szCs w:val="21"/>
              </w:rPr>
              <w:t>有害燃烧产物：氯化氢。</w:t>
            </w:r>
          </w:p>
          <w:p>
            <w:pPr>
              <w:pStyle w:val="42"/>
              <w:ind w:leftChars="0" w:right="0" w:rightChars="0" w:firstLine="0" w:firstLineChars="0"/>
              <w:jc w:val="both"/>
              <w:rPr>
                <w:rFonts w:ascii="仿宋" w:hAnsi="仿宋" w:eastAsia="仿宋"/>
                <w:kern w:val="0"/>
                <w:sz w:val="21"/>
                <w:szCs w:val="21"/>
              </w:rPr>
            </w:pPr>
            <w:r>
              <w:rPr>
                <w:rFonts w:hint="eastAsia" w:ascii="仿宋" w:hAnsi="仿宋" w:eastAsia="仿宋"/>
                <w:kern w:val="0"/>
                <w:sz w:val="21"/>
                <w:szCs w:val="21"/>
              </w:rPr>
              <w:t>灭火方法：用碱性物质如碳酸氢钠、碳酸钠、消石灰等中和。也可用大量水扑救。</w:t>
            </w:r>
          </w:p>
        </w:tc>
      </w:tr>
    </w:tbl>
    <w:p>
      <w:pPr>
        <w:pStyle w:val="4"/>
        <w:ind w:firstLine="560"/>
        <w:rPr>
          <w:rFonts w:ascii="仿宋" w:hAnsi="仿宋" w:eastAsia="仿宋"/>
        </w:rPr>
      </w:pPr>
      <w:r>
        <w:rPr>
          <w:rFonts w:hint="eastAsia" w:ascii="仿宋" w:hAnsi="仿宋" w:eastAsia="仿宋"/>
        </w:rPr>
        <w:t>（3）</w:t>
      </w:r>
      <w:r>
        <w:rPr>
          <w:rFonts w:ascii="仿宋" w:hAnsi="仿宋" w:eastAsia="仿宋"/>
        </w:rPr>
        <w:t>火灾、爆炸处理措施</w:t>
      </w:r>
    </w:p>
    <w:p>
      <w:pPr>
        <w:pStyle w:val="4"/>
        <w:ind w:firstLine="560"/>
        <w:rPr>
          <w:rFonts w:ascii="仿宋" w:hAnsi="仿宋" w:eastAsia="仿宋"/>
        </w:rPr>
      </w:pPr>
      <w:bookmarkStart w:id="273" w:name="_Toc359419397"/>
      <w:r>
        <w:rPr>
          <w:rFonts w:hint="eastAsia" w:ascii="仿宋" w:hAnsi="仿宋" w:eastAsia="仿宋"/>
        </w:rPr>
        <w:t>当生产区</w:t>
      </w:r>
      <w:r>
        <w:rPr>
          <w:rFonts w:hint="eastAsia" w:ascii="仿宋" w:hAnsi="仿宋" w:eastAsia="仿宋"/>
          <w:lang w:eastAsia="zh-CN"/>
        </w:rPr>
        <w:t>或危化品仓库</w:t>
      </w:r>
      <w:r>
        <w:rPr>
          <w:rFonts w:hint="eastAsia" w:ascii="仿宋" w:hAnsi="仿宋" w:eastAsia="仿宋"/>
        </w:rPr>
        <w:t>发生火灾事故、爆炸事故，应急救援组接到报警后，迅速通知有关人员，同时发出警报，应急救援人员应迅速赶往事故现场。视火灾、爆炸事故原因，首先作停车处理，切断电源。</w:t>
      </w:r>
    </w:p>
    <w:p>
      <w:pPr>
        <w:pStyle w:val="4"/>
        <w:ind w:firstLine="560"/>
        <w:rPr>
          <w:rFonts w:ascii="仿宋" w:hAnsi="仿宋" w:eastAsia="仿宋"/>
        </w:rPr>
      </w:pPr>
      <w:r>
        <w:rPr>
          <w:rFonts w:hint="eastAsia" w:ascii="仿宋" w:hAnsi="仿宋" w:eastAsia="仿宋"/>
        </w:rPr>
        <w:t>根据火灾、爆炸事故现场情况，如有必要(具体见预警行动部分)拨打119、120及相关部门报警求援电话，详细说明火警发生的地址、处所、建筑物状况、人员伤亡情况等，同时派出人员接应消防队、救护车和清除交通通道障碍。迅速组织抢救伤员，引导、疏散员工、周围群众撤离事故现场；在事故现场设置警戒线，防止无关人员进入。视火灾、爆炸事故现场情况，开展火灾自救、配合消防队开展扑救。对火灾、爆炸现场以外区域采取隔离、隔绝等措施，防止火势扩大蔓延。将现场内及附近的危险物质迅速转移至安全地带。事故救援中，应注意穿戴好各种防护用品(具)，防止救援人员伤害。事故发生后，应保护好事故现场，以便事后开展事故调查。</w:t>
      </w:r>
    </w:p>
    <w:p>
      <w:pPr>
        <w:pStyle w:val="4"/>
        <w:ind w:firstLine="560"/>
        <w:rPr>
          <w:rFonts w:ascii="仿宋" w:hAnsi="仿宋" w:eastAsia="仿宋"/>
        </w:rPr>
      </w:pPr>
      <w:r>
        <w:rPr>
          <w:rFonts w:hint="eastAsia" w:ascii="仿宋" w:hAnsi="仿宋" w:eastAsia="仿宋"/>
        </w:rPr>
        <w:t>根据厂内原辅料的特性，对厂内可能发生火灾、爆炸的区域采取的应急措施如下：</w:t>
      </w:r>
    </w:p>
    <w:p>
      <w:pPr>
        <w:pStyle w:val="4"/>
        <w:ind w:firstLine="560"/>
        <w:rPr>
          <w:rFonts w:ascii="仿宋" w:hAnsi="仿宋" w:eastAsia="仿宋"/>
        </w:rPr>
      </w:pPr>
      <w:r>
        <w:rPr>
          <w:rFonts w:hint="eastAsia" w:ascii="仿宋" w:hAnsi="仿宋" w:eastAsia="仿宋"/>
        </w:rPr>
        <w:t>①生产车间内设置可燃气体报警仪，可以有效的减少事故的发生。发生火灾、爆炸时，车间内使用干粉灭火器、室内消防栓等，进行现场灭火。</w:t>
      </w:r>
    </w:p>
    <w:p>
      <w:pPr>
        <w:pStyle w:val="4"/>
        <w:ind w:firstLine="560"/>
        <w:rPr>
          <w:rFonts w:ascii="仿宋" w:hAnsi="仿宋" w:eastAsia="仿宋"/>
        </w:rPr>
      </w:pPr>
      <w:r>
        <w:rPr>
          <w:rFonts w:hint="eastAsia" w:ascii="仿宋" w:hAnsi="仿宋" w:eastAsia="仿宋"/>
        </w:rPr>
        <w:t>②物资库在发生火灾时，可利用现场的消防器材进行灭火，现场设置灭火器、消火栓等消防设施。</w:t>
      </w:r>
    </w:p>
    <w:p>
      <w:pPr>
        <w:pStyle w:val="132"/>
        <w:rPr>
          <w:rFonts w:ascii="仿宋" w:hAnsi="仿宋" w:eastAsia="仿宋"/>
        </w:rPr>
      </w:pPr>
      <w:bookmarkStart w:id="274" w:name="_Toc3964"/>
      <w:r>
        <w:rPr>
          <w:rFonts w:ascii="仿宋" w:hAnsi="仿宋" w:eastAsia="仿宋"/>
        </w:rPr>
        <w:t>7.2.2大气污染事件保护目标的应急措施</w:t>
      </w:r>
      <w:bookmarkEnd w:id="273"/>
      <w:bookmarkEnd w:id="274"/>
    </w:p>
    <w:p>
      <w:pPr>
        <w:pStyle w:val="4"/>
        <w:ind w:firstLine="560"/>
        <w:rPr>
          <w:rFonts w:ascii="仿宋" w:hAnsi="仿宋" w:eastAsia="仿宋"/>
        </w:rPr>
      </w:pPr>
      <w:r>
        <w:rPr>
          <w:rFonts w:hint="eastAsia" w:ascii="仿宋" w:hAnsi="仿宋" w:eastAsia="仿宋"/>
        </w:rPr>
        <w:t>江西</w:t>
      </w:r>
      <w:r>
        <w:rPr>
          <w:rFonts w:hint="eastAsia" w:ascii="仿宋" w:hAnsi="仿宋" w:eastAsia="仿宋"/>
          <w:lang w:eastAsia="zh-CN"/>
        </w:rPr>
        <w:t>省愚人纳米科技</w:t>
      </w:r>
      <w:r>
        <w:rPr>
          <w:rFonts w:hint="eastAsia" w:ascii="仿宋" w:hAnsi="仿宋" w:eastAsia="仿宋"/>
        </w:rPr>
        <w:t>有限公司一旦发生有毒有害物质泄露以及易燃、易爆物质发生火灾、爆炸产生二次污染时，应急组人员应积极配合环境监测机构、卫生监测部门等做好监测工作，及时组织下风向敏感保护目标内居民及企业疏散转移至安全地点，根据污染物的性质，开展相应的急救工作。</w:t>
      </w:r>
    </w:p>
    <w:p>
      <w:pPr>
        <w:pStyle w:val="4"/>
        <w:ind w:firstLine="560"/>
        <w:rPr>
          <w:rFonts w:ascii="仿宋" w:hAnsi="仿宋" w:eastAsia="仿宋"/>
        </w:rPr>
      </w:pPr>
      <w:r>
        <w:rPr>
          <w:rFonts w:hint="eastAsia" w:ascii="仿宋" w:hAnsi="仿宋" w:eastAsia="仿宋"/>
        </w:rPr>
        <w:t>本公司大气污染事件主要为仓库液体物料发生泄漏，影响周围大气环境。</w:t>
      </w:r>
    </w:p>
    <w:p>
      <w:pPr>
        <w:pStyle w:val="4"/>
        <w:ind w:firstLine="560"/>
        <w:rPr>
          <w:rFonts w:ascii="仿宋" w:hAnsi="仿宋" w:eastAsia="仿宋"/>
          <w:color w:val="FF0000"/>
        </w:rPr>
      </w:pPr>
      <w:r>
        <w:rPr>
          <w:rFonts w:hint="eastAsia" w:ascii="仿宋" w:hAnsi="仿宋" w:eastAsia="仿宋"/>
        </w:rPr>
        <w:t>从风险识别和后果计算可以看出，本项目发生大的泄漏、火灾爆炸事故概率较小。</w:t>
      </w:r>
      <w:r>
        <w:rPr>
          <w:rFonts w:ascii="仿宋" w:hAnsi="仿宋" w:eastAsia="仿宋"/>
        </w:rPr>
        <w:t>本项目泄漏物</w:t>
      </w:r>
      <w:r>
        <w:rPr>
          <w:rFonts w:hint="eastAsia" w:ascii="仿宋" w:hAnsi="仿宋" w:eastAsia="仿宋"/>
        </w:rPr>
        <w:t>盐酸、硫酸</w:t>
      </w:r>
      <w:r>
        <w:rPr>
          <w:rFonts w:ascii="仿宋" w:hAnsi="仿宋" w:eastAsia="仿宋"/>
        </w:rPr>
        <w:t>对周围保护目标（居民居住地）</w:t>
      </w:r>
      <w:r>
        <w:rPr>
          <w:rFonts w:hint="eastAsia" w:ascii="仿宋" w:hAnsi="仿宋" w:eastAsia="仿宋"/>
        </w:rPr>
        <w:t>造成一定影响。企业必须加强管理，采取必要的预防措施，杜绝事故的发生。</w:t>
      </w:r>
    </w:p>
    <w:p>
      <w:pPr>
        <w:pStyle w:val="132"/>
        <w:rPr>
          <w:rFonts w:ascii="仿宋" w:hAnsi="仿宋" w:eastAsia="仿宋"/>
        </w:rPr>
      </w:pPr>
      <w:bookmarkStart w:id="275" w:name="_Toc25994"/>
      <w:bookmarkStart w:id="276" w:name="_Toc359419398"/>
      <w:r>
        <w:rPr>
          <w:rFonts w:ascii="仿宋" w:hAnsi="仿宋" w:eastAsia="仿宋"/>
        </w:rPr>
        <w:t>7.2.3水污染事件保护目标的应急措施</w:t>
      </w:r>
      <w:bookmarkEnd w:id="275"/>
      <w:bookmarkEnd w:id="276"/>
    </w:p>
    <w:p>
      <w:pPr>
        <w:pStyle w:val="4"/>
        <w:ind w:firstLine="560"/>
        <w:rPr>
          <w:rFonts w:ascii="仿宋" w:hAnsi="仿宋" w:eastAsia="仿宋"/>
        </w:rPr>
      </w:pPr>
      <w:r>
        <w:rPr>
          <w:rFonts w:ascii="仿宋" w:hAnsi="仿宋" w:eastAsia="仿宋"/>
        </w:rPr>
        <w:t>厂区雨水接管口和污水接管口设置截流阀，发生事故时，泄露物、事故伴生、次生消防水流入污水</w:t>
      </w:r>
      <w:r>
        <w:rPr>
          <w:rFonts w:hint="eastAsia" w:ascii="仿宋" w:hAnsi="仿宋" w:eastAsia="仿宋"/>
        </w:rPr>
        <w:t>、</w:t>
      </w:r>
      <w:r>
        <w:rPr>
          <w:rFonts w:ascii="仿宋" w:hAnsi="仿宋" w:eastAsia="仿宋"/>
        </w:rPr>
        <w:t>雨水收集系统，应由抢险救援组负责紧急关闭截流阀，将泄露物、消防水截流在污水</w:t>
      </w:r>
      <w:r>
        <w:rPr>
          <w:rFonts w:hint="eastAsia" w:ascii="仿宋" w:hAnsi="仿宋" w:eastAsia="仿宋"/>
        </w:rPr>
        <w:t>、雨水</w:t>
      </w:r>
      <w:r>
        <w:rPr>
          <w:rFonts w:ascii="仿宋" w:hAnsi="仿宋" w:eastAsia="仿宋"/>
        </w:rPr>
        <w:t>收集系统内，待事故风险解除后，则通过临时架设的提升泵，将伴生、次生污水打入事故应急池，不会使得污染水进入</w:t>
      </w:r>
      <w:r>
        <w:rPr>
          <w:rFonts w:hint="eastAsia" w:ascii="仿宋" w:hAnsi="仿宋" w:eastAsia="仿宋"/>
        </w:rPr>
        <w:t>附近</w:t>
      </w:r>
      <w:r>
        <w:rPr>
          <w:rFonts w:ascii="仿宋" w:hAnsi="仿宋" w:eastAsia="仿宋"/>
        </w:rPr>
        <w:t>河流。</w:t>
      </w:r>
    </w:p>
    <w:p>
      <w:pPr>
        <w:pStyle w:val="4"/>
        <w:ind w:firstLine="560"/>
        <w:rPr>
          <w:rFonts w:ascii="仿宋" w:hAnsi="仿宋" w:eastAsia="仿宋"/>
        </w:rPr>
      </w:pPr>
      <w:r>
        <w:rPr>
          <w:rFonts w:hint="eastAsia" w:ascii="仿宋" w:hAnsi="仿宋" w:eastAsia="仿宋"/>
        </w:rPr>
        <w:t>现场应急领导小组在接到报告后立即率应急人员，通知监测单位携带污染事故专用应急监察、监测等设备，在最短时间内赶赴现场，同时通知环境或卫生监测部门，配合相关部门赴现场监测污染情况。</w:t>
      </w:r>
    </w:p>
    <w:p>
      <w:pPr>
        <w:pStyle w:val="4"/>
        <w:ind w:firstLine="560"/>
        <w:rPr>
          <w:rFonts w:ascii="仿宋" w:hAnsi="仿宋" w:eastAsia="仿宋"/>
        </w:rPr>
      </w:pPr>
      <w:r>
        <w:rPr>
          <w:rFonts w:hint="eastAsia" w:ascii="仿宋" w:hAnsi="仿宋" w:eastAsia="仿宋"/>
        </w:rPr>
        <w:t>在现场应急领导小组到达现场应对现场进行控制和处理，尽可能减少污染物产生，防止污染物扩散；并根据现场勘验情况，配合划定警戒线范围，禁止无关人员靠近。</w:t>
      </w:r>
    </w:p>
    <w:p>
      <w:pPr>
        <w:pStyle w:val="4"/>
        <w:ind w:firstLine="560"/>
        <w:rPr>
          <w:rFonts w:ascii="仿宋" w:hAnsi="仿宋" w:eastAsia="仿宋"/>
        </w:rPr>
      </w:pPr>
      <w:r>
        <w:rPr>
          <w:rFonts w:hint="eastAsia" w:ascii="仿宋" w:hAnsi="仿宋" w:eastAsia="仿宋"/>
        </w:rPr>
        <w:t>现场调查处理工作比较复杂，需根据事件的类别、性质作具体处理。总体步骤如下：</w:t>
      </w:r>
    </w:p>
    <w:p>
      <w:pPr>
        <w:pStyle w:val="4"/>
        <w:ind w:firstLine="560"/>
        <w:rPr>
          <w:rFonts w:ascii="仿宋" w:hAnsi="仿宋" w:eastAsia="仿宋"/>
        </w:rPr>
      </w:pPr>
      <w:r>
        <w:rPr>
          <w:rFonts w:hint="eastAsia" w:ascii="仿宋" w:hAnsi="仿宋" w:eastAsia="仿宋"/>
        </w:rPr>
        <w:t>（1）到达现场后首先组织人员救治病人。</w:t>
      </w:r>
    </w:p>
    <w:p>
      <w:pPr>
        <w:pStyle w:val="4"/>
        <w:ind w:firstLine="560"/>
        <w:rPr>
          <w:rFonts w:ascii="仿宋" w:hAnsi="仿宋" w:eastAsia="仿宋"/>
        </w:rPr>
      </w:pPr>
      <w:r>
        <w:rPr>
          <w:rFonts w:hint="eastAsia" w:ascii="仿宋" w:hAnsi="仿宋" w:eastAsia="仿宋"/>
        </w:rPr>
        <w:t>（2）进一步了解事件的情况，包括污染发生的时间、地点、经过和可能原因、污染来源及可能污染物。</w:t>
      </w:r>
    </w:p>
    <w:p>
      <w:pPr>
        <w:pStyle w:val="4"/>
        <w:ind w:firstLine="560"/>
        <w:rPr>
          <w:rFonts w:ascii="仿宋" w:hAnsi="仿宋" w:eastAsia="仿宋"/>
        </w:rPr>
      </w:pPr>
      <w:r>
        <w:rPr>
          <w:rFonts w:hint="eastAsia" w:ascii="仿宋" w:hAnsi="仿宋" w:eastAsia="仿宋"/>
        </w:rPr>
        <w:t>（3）形成初步判断，确定污染种类。</w:t>
      </w:r>
    </w:p>
    <w:p>
      <w:pPr>
        <w:pStyle w:val="4"/>
        <w:ind w:firstLine="560"/>
        <w:rPr>
          <w:rFonts w:ascii="仿宋" w:hAnsi="仿宋" w:eastAsia="仿宋"/>
        </w:rPr>
      </w:pPr>
      <w:r>
        <w:rPr>
          <w:rFonts w:hint="eastAsia" w:ascii="仿宋" w:hAnsi="仿宋" w:eastAsia="仿宋"/>
        </w:rPr>
        <w:t>（4）开展现场调查工作</w:t>
      </w:r>
    </w:p>
    <w:p>
      <w:pPr>
        <w:pStyle w:val="4"/>
        <w:ind w:firstLine="560"/>
        <w:rPr>
          <w:rFonts w:ascii="仿宋" w:hAnsi="仿宋" w:eastAsia="仿宋"/>
          <w:color w:val="FF0000"/>
        </w:rPr>
      </w:pPr>
      <w:r>
        <w:rPr>
          <w:rFonts w:hint="eastAsia" w:ascii="仿宋" w:hAnsi="仿宋" w:eastAsia="仿宋"/>
        </w:rPr>
        <w:t>现场应急领导小组到达现场，应立即开展现场调查，寻找污染源，全面掌握事故现场的特点，根据各方面因素，寻求因果关系，做好现场调查记录。</w:t>
      </w:r>
      <w:bookmarkStart w:id="277" w:name="_Toc359419399"/>
    </w:p>
    <w:p>
      <w:pPr>
        <w:pStyle w:val="4"/>
        <w:ind w:firstLine="0" w:firstLineChars="0"/>
        <w:rPr>
          <w:rFonts w:ascii="仿宋" w:hAnsi="仿宋" w:eastAsia="仿宋"/>
          <w:b/>
          <w:bCs/>
          <w:szCs w:val="28"/>
        </w:rPr>
      </w:pPr>
      <w:r>
        <w:rPr>
          <w:rFonts w:ascii="仿宋" w:hAnsi="仿宋" w:eastAsia="仿宋"/>
          <w:b/>
          <w:bCs/>
          <w:szCs w:val="28"/>
        </w:rPr>
        <w:t>7.2.4</w:t>
      </w:r>
      <w:bookmarkStart w:id="278" w:name="_Toc243813833"/>
      <w:bookmarkStart w:id="279" w:name="_Toc224965888"/>
      <w:r>
        <w:rPr>
          <w:rFonts w:ascii="仿宋" w:hAnsi="仿宋" w:eastAsia="仿宋"/>
          <w:b/>
          <w:bCs/>
          <w:szCs w:val="28"/>
        </w:rPr>
        <w:t>受伤人员现场救护、救治</w:t>
      </w:r>
      <w:bookmarkEnd w:id="277"/>
    </w:p>
    <w:p>
      <w:pPr>
        <w:pStyle w:val="4"/>
        <w:ind w:firstLine="560"/>
        <w:rPr>
          <w:rFonts w:ascii="仿宋" w:hAnsi="仿宋" w:eastAsia="仿宋"/>
        </w:rPr>
      </w:pPr>
      <w:r>
        <w:rPr>
          <w:rFonts w:hint="eastAsia" w:ascii="仿宋" w:hAnsi="仿宋" w:eastAsia="仿宋"/>
        </w:rPr>
        <w:t>事故发生后，应争分夺秒将受伤人员转移到第一救护现场进行救护，同时向附近的医院、120报警请求救援。受伤人员送医院救治应视受伤人员数量、伤势危急情况、医院救护车辆到达情况选择送达哪家医院以及入院前受伤人员顺序安排。</w:t>
      </w:r>
    </w:p>
    <w:p>
      <w:pPr>
        <w:pStyle w:val="4"/>
        <w:ind w:firstLine="560"/>
        <w:rPr>
          <w:rFonts w:ascii="仿宋" w:hAnsi="仿宋" w:eastAsia="仿宋"/>
          <w:b/>
          <w:bCs/>
        </w:rPr>
      </w:pPr>
      <w:r>
        <w:rPr>
          <w:rFonts w:hint="eastAsia" w:ascii="仿宋" w:hAnsi="仿宋" w:eastAsia="仿宋"/>
        </w:rPr>
        <w:t>（1）中毒急救方案：①对于高浓度的毒物污染区以及严重缺氧环境，必须先予以通风，参加救护人员需佩戴供氧式防毒面具。其它毒物也应采取有效防护措施方可入内救护。②中毒者脱离染毒区后，应在现场立即着手急救。③彻底清除毒物污染，防止继续吸收。④送医院治疗。经过初步急救，速送医院继续治疗。</w:t>
      </w:r>
    </w:p>
    <w:p>
      <w:pPr>
        <w:pStyle w:val="4"/>
        <w:ind w:firstLine="560"/>
        <w:rPr>
          <w:rFonts w:ascii="仿宋" w:hAnsi="仿宋" w:eastAsia="仿宋"/>
        </w:rPr>
      </w:pPr>
      <w:r>
        <w:rPr>
          <w:rFonts w:hint="eastAsia" w:ascii="仿宋" w:hAnsi="仿宋" w:eastAsia="仿宋"/>
        </w:rPr>
        <w:t>（2）中毒现场急救方案：可采取的两种基本方法有胸外心脏按摩法、人工呼吸法。</w:t>
      </w:r>
    </w:p>
    <w:p>
      <w:pPr>
        <w:pStyle w:val="4"/>
        <w:ind w:firstLine="560"/>
        <w:rPr>
          <w:rFonts w:ascii="仿宋" w:hAnsi="仿宋" w:eastAsia="仿宋"/>
          <w:szCs w:val="28"/>
        </w:rPr>
      </w:pPr>
      <w:r>
        <w:rPr>
          <w:rFonts w:hint="eastAsia" w:ascii="仿宋" w:hAnsi="仿宋" w:eastAsia="仿宋"/>
        </w:rPr>
        <w:t>（3）烧伤急救方案：一灭(采取各种有效措施灭火)，二查(检查全身状况和有无合并损伤)，三防(防休克，防窒息，防创面污染)，四包(用较干净的衣服把伤员包裹起来)，五送(迅速离开现场，把重伤员送往医院)。</w:t>
      </w:r>
    </w:p>
    <w:p>
      <w:pPr>
        <w:pStyle w:val="132"/>
        <w:rPr>
          <w:rFonts w:ascii="仿宋" w:hAnsi="仿宋" w:eastAsia="仿宋"/>
        </w:rPr>
      </w:pPr>
      <w:bookmarkStart w:id="280" w:name="_Toc1406"/>
      <w:bookmarkStart w:id="281" w:name="_Toc359419400"/>
      <w:r>
        <w:rPr>
          <w:rFonts w:ascii="仿宋" w:hAnsi="仿宋" w:eastAsia="仿宋"/>
        </w:rPr>
        <w:t>7.2.5</w:t>
      </w:r>
      <w:bookmarkEnd w:id="278"/>
      <w:bookmarkEnd w:id="279"/>
      <w:r>
        <w:rPr>
          <w:rFonts w:ascii="仿宋" w:hAnsi="仿宋" w:eastAsia="仿宋"/>
        </w:rPr>
        <w:t>固废污染事件应急措施</w:t>
      </w:r>
      <w:bookmarkEnd w:id="280"/>
      <w:bookmarkEnd w:id="281"/>
    </w:p>
    <w:p>
      <w:pPr>
        <w:pStyle w:val="4"/>
        <w:ind w:firstLine="560"/>
        <w:rPr>
          <w:rFonts w:hint="eastAsia" w:ascii="仿宋" w:hAnsi="仿宋" w:eastAsia="仿宋"/>
          <w:lang w:eastAsia="zh-CN"/>
        </w:rPr>
      </w:pPr>
      <w:r>
        <w:rPr>
          <w:rFonts w:hint="eastAsia" w:ascii="仿宋" w:hAnsi="仿宋" w:eastAsia="仿宋"/>
        </w:rPr>
        <w:t>各车间生产原料</w:t>
      </w:r>
      <w:r>
        <w:rPr>
          <w:rFonts w:hint="eastAsia" w:ascii="仿宋" w:hAnsi="仿宋" w:eastAsia="仿宋"/>
          <w:lang w:eastAsia="zh-CN"/>
        </w:rPr>
        <w:t>不</w:t>
      </w:r>
      <w:r>
        <w:rPr>
          <w:rFonts w:hint="eastAsia" w:ascii="仿宋" w:hAnsi="仿宋" w:eastAsia="仿宋"/>
        </w:rPr>
        <w:t>属</w:t>
      </w:r>
      <w:r>
        <w:rPr>
          <w:rFonts w:hint="eastAsia" w:ascii="仿宋" w:hAnsi="仿宋" w:eastAsia="仿宋"/>
          <w:lang w:eastAsia="zh-CN"/>
        </w:rPr>
        <w:t>于</w:t>
      </w:r>
      <w:r>
        <w:rPr>
          <w:rFonts w:hint="eastAsia" w:ascii="仿宋" w:hAnsi="仿宋" w:eastAsia="仿宋"/>
        </w:rPr>
        <w:t>危险废物，包括外购原料。</w:t>
      </w:r>
      <w:r>
        <w:rPr>
          <w:rFonts w:hint="eastAsia" w:ascii="仿宋" w:hAnsi="仿宋" w:eastAsia="仿宋"/>
          <w:lang w:eastAsia="zh-CN"/>
        </w:rPr>
        <w:t>反应灰</w:t>
      </w:r>
      <w:r>
        <w:rPr>
          <w:rFonts w:hint="eastAsia" w:ascii="仿宋" w:hAnsi="仿宋" w:eastAsia="仿宋"/>
        </w:rPr>
        <w:t>渣</w:t>
      </w:r>
      <w:r>
        <w:rPr>
          <w:rFonts w:hint="eastAsia" w:ascii="仿宋" w:hAnsi="仿宋" w:eastAsia="仿宋"/>
          <w:lang w:eastAsia="zh-CN"/>
        </w:rPr>
        <w:t>、净化灰渣、净出压滤灰渣</w:t>
      </w:r>
      <w:r>
        <w:rPr>
          <w:rFonts w:hint="eastAsia" w:ascii="仿宋" w:hAnsi="仿宋" w:eastAsia="仿宋"/>
        </w:rPr>
        <w:t>（HW48、</w:t>
      </w:r>
      <w:r>
        <w:rPr>
          <w:rFonts w:hint="eastAsia" w:ascii="仿宋" w:hAnsi="仿宋" w:eastAsia="仿宋"/>
          <w:lang w:val="en-US" w:eastAsia="zh-CN"/>
        </w:rPr>
        <w:t>300</w:t>
      </w:r>
      <w:r>
        <w:rPr>
          <w:rFonts w:hint="eastAsia" w:ascii="仿宋" w:hAnsi="仿宋" w:eastAsia="仿宋"/>
        </w:rPr>
        <w:t>t/a）堆存于危险废物暂存库（危险废物暂存库布置在厂区西南面，分区分格存放，总占地面积</w:t>
      </w:r>
      <w:r>
        <w:rPr>
          <w:rFonts w:hint="eastAsia" w:ascii="仿宋" w:hAnsi="仿宋" w:eastAsia="仿宋"/>
          <w:lang w:val="en-US" w:eastAsia="zh-CN"/>
        </w:rPr>
        <w:t>400</w:t>
      </w:r>
      <w:r>
        <w:rPr>
          <w:rFonts w:hint="eastAsia" w:ascii="仿宋" w:hAnsi="仿宋" w:eastAsia="仿宋"/>
        </w:rPr>
        <w:t>m</w:t>
      </w:r>
      <w:r>
        <w:rPr>
          <w:rFonts w:hint="eastAsia" w:ascii="仿宋" w:hAnsi="仿宋" w:eastAsia="仿宋"/>
          <w:vertAlign w:val="superscript"/>
        </w:rPr>
        <w:t>2</w:t>
      </w:r>
      <w:r>
        <w:rPr>
          <w:rFonts w:hint="eastAsia" w:ascii="仿宋" w:hAnsi="仿宋" w:eastAsia="仿宋"/>
        </w:rPr>
        <w:t xml:space="preserve">，设计存贮能力 </w:t>
      </w:r>
      <w:r>
        <w:rPr>
          <w:rFonts w:hint="eastAsia" w:ascii="仿宋" w:hAnsi="仿宋" w:eastAsia="仿宋"/>
          <w:lang w:val="en-US" w:eastAsia="zh-CN"/>
        </w:rPr>
        <w:t>500</w:t>
      </w:r>
      <w:r>
        <w:rPr>
          <w:rFonts w:hint="eastAsia" w:ascii="仿宋" w:hAnsi="仿宋" w:eastAsia="仿宋"/>
        </w:rPr>
        <w:t>t。）；其他</w:t>
      </w:r>
      <w:r>
        <w:rPr>
          <w:rFonts w:hint="eastAsia" w:ascii="仿宋" w:hAnsi="仿宋" w:eastAsia="仿宋"/>
          <w:lang w:eastAsia="zh-CN"/>
        </w:rPr>
        <w:t>辅</w:t>
      </w:r>
      <w:r>
        <w:rPr>
          <w:rFonts w:hint="eastAsia" w:ascii="仿宋" w:hAnsi="仿宋" w:eastAsia="仿宋"/>
        </w:rPr>
        <w:t>料存于</w:t>
      </w:r>
      <w:r>
        <w:rPr>
          <w:rFonts w:hint="eastAsia" w:ascii="仿宋" w:hAnsi="仿宋" w:eastAsia="仿宋"/>
          <w:lang w:eastAsia="zh-CN"/>
        </w:rPr>
        <w:t>危险化学品</w:t>
      </w:r>
      <w:r>
        <w:rPr>
          <w:rFonts w:hint="eastAsia" w:ascii="仿宋" w:hAnsi="仿宋" w:eastAsia="仿宋"/>
        </w:rPr>
        <w:t>仓库，对危险废物贮存过程中产生的渗滤废水，在</w:t>
      </w:r>
      <w:r>
        <w:rPr>
          <w:rFonts w:hint="eastAsia" w:ascii="仿宋" w:hAnsi="仿宋" w:eastAsia="仿宋"/>
          <w:lang w:eastAsia="zh-CN"/>
        </w:rPr>
        <w:t>固废仓库和储罐区过道之间</w:t>
      </w:r>
    </w:p>
    <w:p>
      <w:pPr>
        <w:pStyle w:val="4"/>
        <w:rPr>
          <w:rFonts w:ascii="仿宋" w:hAnsi="仿宋" w:eastAsia="仿宋"/>
          <w:color w:val="FF0000"/>
        </w:rPr>
      </w:pPr>
      <w:r>
        <w:rPr>
          <w:rFonts w:hint="eastAsia" w:ascii="仿宋" w:hAnsi="仿宋" w:eastAsia="仿宋"/>
        </w:rPr>
        <w:t>设一个5m</w:t>
      </w:r>
      <w:r>
        <w:rPr>
          <w:rFonts w:hint="eastAsia" w:ascii="仿宋" w:hAnsi="仿宋" w:eastAsia="仿宋"/>
          <w:vertAlign w:val="superscript"/>
        </w:rPr>
        <w:t>3</w:t>
      </w:r>
      <w:r>
        <w:rPr>
          <w:rFonts w:hint="eastAsia" w:ascii="仿宋" w:hAnsi="仿宋" w:eastAsia="仿宋"/>
        </w:rPr>
        <w:t>的收集池，四周设置收集沟和收集池应作防渗处理；收集后的渗滤废水送至厂区污水处理站进行中和、沉淀处理，处理后的废水</w:t>
      </w:r>
      <w:r>
        <w:rPr>
          <w:rFonts w:hint="eastAsia" w:ascii="仿宋" w:hAnsi="仿宋" w:eastAsia="仿宋"/>
          <w:lang w:eastAsia="zh-CN"/>
        </w:rPr>
        <w:t>经压滤后排往大洋洲污水处理站，滤渣转移到固废仓库。</w:t>
      </w:r>
      <w:r>
        <w:rPr>
          <w:rFonts w:hint="eastAsia" w:ascii="仿宋" w:hAnsi="仿宋" w:eastAsia="仿宋"/>
        </w:rPr>
        <w:t>当物料发生泄漏时，应立即收集泄漏物，并将泄漏点处朝上，防止危废进一步泄漏，同时</w:t>
      </w:r>
      <w:r>
        <w:rPr>
          <w:rFonts w:ascii="仿宋" w:hAnsi="仿宋" w:eastAsia="仿宋"/>
        </w:rPr>
        <w:t>对现场进行洗消处理。</w:t>
      </w:r>
    </w:p>
    <w:p>
      <w:pPr>
        <w:pStyle w:val="132"/>
        <w:rPr>
          <w:rFonts w:ascii="仿宋" w:hAnsi="仿宋" w:eastAsia="仿宋"/>
        </w:rPr>
      </w:pPr>
      <w:bookmarkStart w:id="282" w:name="_Toc7477"/>
      <w:bookmarkStart w:id="283" w:name="_Toc359419401"/>
      <w:r>
        <w:rPr>
          <w:rFonts w:ascii="仿宋" w:hAnsi="仿宋" w:eastAsia="仿宋"/>
        </w:rPr>
        <w:t>7.2.6事故现场人员清点、撤离方式、方法</w:t>
      </w:r>
      <w:bookmarkEnd w:id="282"/>
      <w:bookmarkEnd w:id="283"/>
    </w:p>
    <w:p>
      <w:pPr>
        <w:pStyle w:val="4"/>
        <w:ind w:firstLine="560"/>
        <w:rPr>
          <w:rFonts w:ascii="仿宋" w:hAnsi="仿宋" w:eastAsia="仿宋"/>
        </w:rPr>
      </w:pPr>
      <w:r>
        <w:rPr>
          <w:rFonts w:ascii="仿宋" w:hAnsi="仿宋" w:eastAsia="仿宋"/>
        </w:rPr>
        <w:t>当发生泄漏事故时，由指挥部实施紧急疏散、撤离计划。事故区域所有员工必须执行紧急疏散、撤离命令。指挥部</w:t>
      </w:r>
      <w:r>
        <w:rPr>
          <w:rFonts w:hint="eastAsia" w:ascii="仿宋" w:hAnsi="仿宋" w:eastAsia="仿宋"/>
        </w:rPr>
        <w:t>安全警戒组</w:t>
      </w:r>
      <w:r>
        <w:rPr>
          <w:rFonts w:ascii="仿宋" w:hAnsi="仿宋" w:eastAsia="仿宋"/>
        </w:rPr>
        <w:t>应立即到达事故现场，设立警戒区域，指导警戒区内的员工有序的离开。警戒区域内的各班班长应清点撤离人员，检查确认区域内确无任何人滞留后，向</w:t>
      </w:r>
      <w:r>
        <w:rPr>
          <w:rFonts w:hint="eastAsia" w:ascii="仿宋" w:hAnsi="仿宋" w:eastAsia="仿宋"/>
        </w:rPr>
        <w:t>后勤</w:t>
      </w:r>
      <w:r>
        <w:rPr>
          <w:rFonts w:ascii="仿宋" w:hAnsi="仿宋" w:eastAsia="仿宋"/>
        </w:rPr>
        <w:t>部</w:t>
      </w:r>
      <w:r>
        <w:rPr>
          <w:rFonts w:hint="eastAsia" w:ascii="仿宋" w:hAnsi="仿宋" w:eastAsia="仿宋"/>
        </w:rPr>
        <w:t>、</w:t>
      </w:r>
      <w:r>
        <w:rPr>
          <w:rFonts w:ascii="仿宋" w:hAnsi="仿宋" w:eastAsia="仿宋"/>
        </w:rPr>
        <w:t>保安部汇报撤离人数，进行最好撤离。当员工接到紧急撤离命令后，应对生产装置进行紧急停车，并对物料进行安全处置危险后，方可撤离岗位到指定地点进行集合。</w:t>
      </w:r>
    </w:p>
    <w:p>
      <w:pPr>
        <w:pStyle w:val="4"/>
        <w:ind w:firstLine="560"/>
        <w:rPr>
          <w:rFonts w:ascii="仿宋" w:hAnsi="仿宋" w:eastAsia="仿宋"/>
        </w:rPr>
      </w:pPr>
      <w:r>
        <w:rPr>
          <w:rFonts w:ascii="仿宋" w:hAnsi="仿宋" w:eastAsia="仿宋"/>
        </w:rPr>
        <w:t>员工在撤离过程中，应佩戴好岗位上所配备的防毒面具，在无防毒面具的情况下，应憋住呼吸，用湿毛巾捂住口</w:t>
      </w:r>
      <w:r>
        <w:rPr>
          <w:rFonts w:hint="eastAsia" w:ascii="仿宋" w:hAnsi="仿宋" w:eastAsia="仿宋"/>
          <w:lang w:eastAsia="zh-CN"/>
        </w:rPr>
        <w:t>、</w:t>
      </w:r>
      <w:r>
        <w:rPr>
          <w:rFonts w:ascii="仿宋" w:hAnsi="仿宋" w:eastAsia="仿宋"/>
        </w:rPr>
        <w:t>鼻部位，缓缓朝逆风方向或指定的集中地点走去。</w:t>
      </w:r>
    </w:p>
    <w:p>
      <w:pPr>
        <w:pStyle w:val="4"/>
        <w:ind w:firstLine="560"/>
        <w:rPr>
          <w:rFonts w:ascii="仿宋" w:hAnsi="仿宋" w:eastAsia="仿宋"/>
        </w:rPr>
      </w:pPr>
      <w:r>
        <w:rPr>
          <w:rFonts w:ascii="仿宋" w:hAnsi="仿宋" w:eastAsia="仿宋"/>
        </w:rPr>
        <w:t>疏散集中点由指挥部根据当时气象条件确定，总的原则是撤离安全点处于当时的上风向。</w:t>
      </w:r>
    </w:p>
    <w:p>
      <w:pPr>
        <w:pStyle w:val="4"/>
        <w:ind w:firstLine="560"/>
        <w:rPr>
          <w:rFonts w:ascii="仿宋" w:hAnsi="仿宋" w:eastAsia="仿宋"/>
        </w:rPr>
      </w:pPr>
      <w:r>
        <w:rPr>
          <w:rFonts w:ascii="仿宋" w:hAnsi="仿宋" w:eastAsia="仿宋"/>
        </w:rPr>
        <w:t>后勤疏散负责向周边事故影响区的单位、社区及人员通报事故情况及影响，说明疏散的有关事项及方向；本单位非事故现场的人员应根据预案演练时的要求有序疏散，并做好互救工作；发生重大事故时，可能危及周边区域的单位和社区安全时，指挥部应与政府有关部门联系，配合政府引导人员迅速疏散至安全的地方。</w:t>
      </w:r>
    </w:p>
    <w:p>
      <w:pPr>
        <w:pStyle w:val="3"/>
        <w:rPr>
          <w:rFonts w:ascii="仿宋" w:hAnsi="仿宋" w:eastAsia="仿宋"/>
        </w:rPr>
      </w:pPr>
      <w:bookmarkStart w:id="284" w:name="_Toc5510"/>
      <w:r>
        <w:rPr>
          <w:rFonts w:ascii="仿宋" w:hAnsi="仿宋" w:eastAsia="仿宋"/>
        </w:rPr>
        <w:t>7.3应急监测</w:t>
      </w:r>
      <w:bookmarkEnd w:id="284"/>
    </w:p>
    <w:p>
      <w:pPr>
        <w:pStyle w:val="4"/>
        <w:ind w:firstLine="560"/>
        <w:rPr>
          <w:rFonts w:ascii="仿宋" w:hAnsi="仿宋" w:eastAsia="仿宋"/>
        </w:rPr>
      </w:pPr>
      <w:r>
        <w:rPr>
          <w:rFonts w:hint="eastAsia" w:ascii="仿宋" w:hAnsi="仿宋" w:eastAsia="仿宋"/>
        </w:rPr>
        <w:t>（1）</w:t>
      </w:r>
      <w:r>
        <w:rPr>
          <w:rFonts w:ascii="仿宋" w:hAnsi="仿宋" w:eastAsia="仿宋"/>
        </w:rPr>
        <w:t>监测的方式、方法</w:t>
      </w:r>
    </w:p>
    <w:p>
      <w:pPr>
        <w:pStyle w:val="4"/>
        <w:ind w:firstLine="560"/>
        <w:rPr>
          <w:rFonts w:ascii="仿宋" w:hAnsi="仿宋" w:eastAsia="仿宋"/>
        </w:rPr>
      </w:pPr>
      <w:r>
        <w:rPr>
          <w:rFonts w:ascii="仿宋" w:hAnsi="仿宋" w:eastAsia="仿宋"/>
        </w:rPr>
        <w:t>事故发生后环境污染情况由环境监测机构进行监测。应急小组分工负责人或派员协助监测工作。</w:t>
      </w:r>
    </w:p>
    <w:p>
      <w:pPr>
        <w:pStyle w:val="4"/>
        <w:ind w:firstLine="560"/>
        <w:rPr>
          <w:rFonts w:ascii="仿宋" w:hAnsi="仿宋" w:eastAsia="仿宋"/>
        </w:rPr>
      </w:pPr>
      <w:r>
        <w:rPr>
          <w:rFonts w:hint="eastAsia" w:ascii="仿宋" w:hAnsi="仿宋" w:eastAsia="仿宋"/>
        </w:rPr>
        <w:t>（2）</w:t>
      </w:r>
      <w:r>
        <w:rPr>
          <w:rFonts w:ascii="仿宋" w:hAnsi="仿宋" w:eastAsia="仿宋"/>
        </w:rPr>
        <w:t>监测因子</w:t>
      </w:r>
    </w:p>
    <w:p>
      <w:pPr>
        <w:pStyle w:val="4"/>
        <w:ind w:firstLine="560"/>
        <w:rPr>
          <w:rFonts w:hint="eastAsia" w:ascii="仿宋" w:hAnsi="仿宋" w:eastAsia="仿宋"/>
          <w:vertAlign w:val="baseline"/>
          <w:lang w:val="en-US" w:eastAsia="zh-CN"/>
        </w:rPr>
      </w:pPr>
      <w:r>
        <w:rPr>
          <w:rFonts w:ascii="仿宋" w:hAnsi="仿宋" w:eastAsia="仿宋"/>
        </w:rPr>
        <w:t>大气监测因子</w:t>
      </w:r>
      <w:r>
        <w:rPr>
          <w:rFonts w:hAnsi="仿宋" w:eastAsia="仿宋"/>
        </w:rPr>
        <w:t>：</w:t>
      </w:r>
      <w:r>
        <w:rPr>
          <w:rFonts w:eastAsia="仿宋"/>
        </w:rPr>
        <w:t>HCl</w:t>
      </w:r>
      <w:r>
        <w:rPr>
          <w:rFonts w:hAnsi="仿宋" w:eastAsia="仿宋"/>
        </w:rPr>
        <w:t>、</w:t>
      </w:r>
      <w:r>
        <w:rPr>
          <w:rFonts w:eastAsia="仿宋"/>
        </w:rPr>
        <w:t>SO</w:t>
      </w:r>
      <w:r>
        <w:rPr>
          <w:rFonts w:eastAsia="仿宋"/>
          <w:vertAlign w:val="subscript"/>
        </w:rPr>
        <w:t>2</w:t>
      </w:r>
    </w:p>
    <w:p>
      <w:pPr>
        <w:pStyle w:val="4"/>
        <w:ind w:firstLine="560"/>
        <w:rPr>
          <w:rFonts w:hint="eastAsia" w:ascii="仿宋" w:hAnsi="仿宋" w:eastAsia="仿宋"/>
        </w:rPr>
      </w:pPr>
      <w:r>
        <w:rPr>
          <w:rFonts w:hint="eastAsia" w:ascii="仿宋" w:hAnsi="仿宋" w:eastAsia="仿宋"/>
        </w:rPr>
        <w:t>水质监测因子：p</w:t>
      </w:r>
      <w:r>
        <w:rPr>
          <w:rFonts w:ascii="仿宋" w:hAnsi="仿宋" w:eastAsia="仿宋"/>
        </w:rPr>
        <w:t>H</w:t>
      </w:r>
      <w:r>
        <w:rPr>
          <w:rFonts w:hint="eastAsia" w:ascii="仿宋" w:hAnsi="仿宋" w:eastAsia="仿宋"/>
        </w:rPr>
        <w:t>、COD</w:t>
      </w:r>
    </w:p>
    <w:p>
      <w:pPr>
        <w:pStyle w:val="4"/>
        <w:ind w:firstLine="560"/>
        <w:rPr>
          <w:rFonts w:ascii="仿宋" w:hAnsi="仿宋" w:eastAsia="仿宋"/>
        </w:rPr>
      </w:pPr>
      <w:r>
        <w:rPr>
          <w:rFonts w:hint="eastAsia" w:ascii="仿宋" w:hAnsi="仿宋" w:eastAsia="仿宋"/>
        </w:rPr>
        <w:t>（3）</w:t>
      </w:r>
      <w:r>
        <w:rPr>
          <w:rFonts w:ascii="仿宋" w:hAnsi="仿宋" w:eastAsia="仿宋"/>
        </w:rPr>
        <w:t>监测布点</w:t>
      </w:r>
    </w:p>
    <w:p>
      <w:pPr>
        <w:pStyle w:val="4"/>
        <w:ind w:firstLine="560"/>
        <w:rPr>
          <w:rFonts w:ascii="仿宋" w:hAnsi="仿宋" w:eastAsia="仿宋"/>
        </w:rPr>
      </w:pPr>
      <w:r>
        <w:rPr>
          <w:rFonts w:ascii="仿宋" w:hAnsi="仿宋" w:eastAsia="仿宋"/>
        </w:rPr>
        <w:t>事故发生时下风向的厂界及保护目标各设一监测点。</w:t>
      </w:r>
    </w:p>
    <w:p>
      <w:pPr>
        <w:snapToGrid w:val="0"/>
        <w:spacing w:line="500" w:lineRule="exact"/>
        <w:ind w:left="0" w:leftChars="0" w:right="0" w:rightChars="0" w:firstLine="0" w:firstLineChars="0"/>
        <w:jc w:val="center"/>
        <w:rPr>
          <w:rFonts w:ascii="仿宋" w:hAnsi="仿宋" w:eastAsia="仿宋"/>
          <w:sz w:val="24"/>
          <w:highlight w:val="none"/>
        </w:rPr>
      </w:pPr>
      <w:r>
        <w:rPr>
          <w:rFonts w:ascii="仿宋" w:hAnsi="仿宋" w:eastAsia="仿宋"/>
          <w:b/>
          <w:sz w:val="24"/>
          <w:highlight w:val="none"/>
        </w:rPr>
        <w:t>表7</w:t>
      </w:r>
      <w:r>
        <w:rPr>
          <w:rFonts w:hint="eastAsia" w:ascii="仿宋" w:hAnsi="仿宋" w:eastAsia="仿宋"/>
          <w:b/>
          <w:sz w:val="24"/>
          <w:highlight w:val="none"/>
        </w:rPr>
        <w:t>.3</w:t>
      </w:r>
      <w:r>
        <w:rPr>
          <w:rFonts w:ascii="仿宋" w:hAnsi="仿宋" w:eastAsia="仿宋"/>
          <w:b/>
          <w:sz w:val="24"/>
          <w:highlight w:val="none"/>
        </w:rPr>
        <w:t>-</w:t>
      </w:r>
      <w:r>
        <w:rPr>
          <w:rFonts w:hint="eastAsia" w:ascii="仿宋" w:hAnsi="仿宋" w:eastAsia="仿宋"/>
          <w:b/>
          <w:sz w:val="24"/>
          <w:highlight w:val="none"/>
        </w:rPr>
        <w:t>1</w:t>
      </w:r>
      <w:r>
        <w:rPr>
          <w:rFonts w:ascii="仿宋" w:hAnsi="仿宋" w:eastAsia="仿宋"/>
          <w:b/>
          <w:sz w:val="24"/>
          <w:highlight w:val="none"/>
        </w:rPr>
        <w:t xml:space="preserve"> </w:t>
      </w:r>
      <w:r>
        <w:rPr>
          <w:rFonts w:hint="eastAsia" w:ascii="仿宋" w:hAnsi="仿宋" w:eastAsia="仿宋"/>
          <w:b/>
          <w:sz w:val="24"/>
          <w:highlight w:val="none"/>
        </w:rPr>
        <w:t xml:space="preserve"> </w:t>
      </w:r>
      <w:r>
        <w:rPr>
          <w:rFonts w:ascii="仿宋" w:hAnsi="仿宋" w:eastAsia="仿宋"/>
          <w:b/>
          <w:sz w:val="24"/>
          <w:highlight w:val="none"/>
        </w:rPr>
        <w:t>监测点位布设情况</w:t>
      </w:r>
    </w:p>
    <w:tbl>
      <w:tblPr>
        <w:tblStyle w:val="39"/>
        <w:tblW w:w="8820"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284"/>
        <w:gridCol w:w="1701"/>
        <w:gridCol w:w="1843"/>
        <w:gridCol w:w="1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60" w:type="dxa"/>
            <w:tcBorders>
              <w:top w:val="single" w:color="auto" w:sz="12" w:space="0"/>
              <w:bottom w:val="double" w:color="auto" w:sz="6" w:space="0"/>
              <w:right w:val="single" w:color="auto" w:sz="4" w:space="0"/>
            </w:tcBorders>
            <w:vAlign w:val="center"/>
          </w:tcPr>
          <w:p>
            <w:pPr>
              <w:ind w:left="0" w:leftChars="0" w:firstLine="0" w:firstLineChars="0"/>
              <w:jc w:val="both"/>
              <w:rPr>
                <w:color w:val="000000"/>
                <w:sz w:val="21"/>
                <w:szCs w:val="21"/>
              </w:rPr>
            </w:pPr>
            <w:r>
              <w:rPr>
                <w:rFonts w:hint="eastAsia"/>
                <w:color w:val="000000"/>
                <w:sz w:val="21"/>
                <w:szCs w:val="21"/>
              </w:rPr>
              <w:t>监测点</w:t>
            </w:r>
          </w:p>
        </w:tc>
        <w:tc>
          <w:tcPr>
            <w:tcW w:w="2284" w:type="dxa"/>
            <w:tcBorders>
              <w:top w:val="single" w:color="auto" w:sz="12" w:space="0"/>
              <w:bottom w:val="double" w:color="auto" w:sz="6" w:space="0"/>
              <w:right w:val="single" w:color="auto" w:sz="4" w:space="0"/>
            </w:tcBorders>
            <w:vAlign w:val="center"/>
          </w:tcPr>
          <w:p>
            <w:pPr>
              <w:ind w:left="0" w:leftChars="0" w:firstLine="0" w:firstLineChars="0"/>
              <w:jc w:val="both"/>
              <w:rPr>
                <w:color w:val="000000"/>
                <w:sz w:val="21"/>
                <w:szCs w:val="21"/>
              </w:rPr>
            </w:pPr>
            <w:r>
              <w:rPr>
                <w:rFonts w:hint="eastAsia"/>
                <w:color w:val="000000"/>
                <w:sz w:val="21"/>
                <w:szCs w:val="21"/>
              </w:rPr>
              <w:t>保护目标名称</w:t>
            </w:r>
          </w:p>
        </w:tc>
        <w:tc>
          <w:tcPr>
            <w:tcW w:w="1701" w:type="dxa"/>
            <w:tcBorders>
              <w:top w:val="single" w:color="auto" w:sz="12" w:space="0"/>
              <w:bottom w:val="double" w:color="auto" w:sz="6" w:space="0"/>
              <w:right w:val="single" w:color="auto" w:sz="4" w:space="0"/>
            </w:tcBorders>
            <w:vAlign w:val="center"/>
          </w:tcPr>
          <w:p>
            <w:pPr>
              <w:ind w:left="0" w:leftChars="0" w:firstLine="420" w:firstLineChars="200"/>
              <w:jc w:val="both"/>
              <w:rPr>
                <w:color w:val="000000"/>
                <w:sz w:val="21"/>
                <w:szCs w:val="21"/>
              </w:rPr>
            </w:pPr>
            <w:r>
              <w:rPr>
                <w:rFonts w:hint="eastAsia"/>
                <w:color w:val="000000"/>
                <w:sz w:val="21"/>
                <w:szCs w:val="21"/>
              </w:rPr>
              <w:t>方位</w:t>
            </w:r>
          </w:p>
        </w:tc>
        <w:tc>
          <w:tcPr>
            <w:tcW w:w="1843" w:type="dxa"/>
            <w:tcBorders>
              <w:top w:val="single" w:color="auto" w:sz="12" w:space="0"/>
              <w:bottom w:val="double" w:color="auto" w:sz="6" w:space="0"/>
            </w:tcBorders>
            <w:vAlign w:val="center"/>
          </w:tcPr>
          <w:p>
            <w:pPr>
              <w:ind w:left="0" w:leftChars="0" w:firstLine="0" w:firstLineChars="0"/>
              <w:jc w:val="both"/>
              <w:rPr>
                <w:color w:val="000000"/>
                <w:sz w:val="21"/>
                <w:szCs w:val="21"/>
              </w:rPr>
            </w:pPr>
            <w:r>
              <w:rPr>
                <w:rFonts w:hint="eastAsia"/>
                <w:color w:val="000000"/>
                <w:sz w:val="21"/>
                <w:szCs w:val="21"/>
              </w:rPr>
              <w:t>距离（米）</w:t>
            </w:r>
          </w:p>
        </w:tc>
        <w:tc>
          <w:tcPr>
            <w:tcW w:w="1732" w:type="dxa"/>
            <w:tcBorders>
              <w:top w:val="single" w:color="auto" w:sz="12" w:space="0"/>
              <w:bottom w:val="double" w:color="auto" w:sz="6" w:space="0"/>
            </w:tcBorders>
            <w:vAlign w:val="center"/>
          </w:tcPr>
          <w:p>
            <w:pPr>
              <w:ind w:left="0" w:leftChars="0" w:firstLine="0" w:firstLineChars="0"/>
              <w:jc w:val="both"/>
              <w:rPr>
                <w:color w:val="000000"/>
                <w:sz w:val="21"/>
                <w:szCs w:val="21"/>
              </w:rPr>
            </w:pPr>
            <w:r>
              <w:rPr>
                <w:rFonts w:hint="eastAsia"/>
                <w:color w:val="000000"/>
                <w:sz w:val="21"/>
                <w:szCs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60" w:type="dxa"/>
            <w:tcBorders>
              <w:top w:val="double" w:color="auto" w:sz="6" w:space="0"/>
              <w:bottom w:val="single" w:color="auto" w:sz="4" w:space="0"/>
              <w:right w:val="single" w:color="auto" w:sz="4" w:space="0"/>
            </w:tcBorders>
            <w:vAlign w:val="center"/>
          </w:tcPr>
          <w:p>
            <w:pPr>
              <w:autoSpaceDE w:val="0"/>
              <w:autoSpaceDN w:val="0"/>
              <w:adjustRightInd w:val="0"/>
              <w:ind w:left="0" w:leftChars="0" w:firstLine="0" w:firstLineChars="0"/>
              <w:jc w:val="both"/>
              <w:rPr>
                <w:color w:val="000000"/>
                <w:sz w:val="21"/>
                <w:szCs w:val="21"/>
              </w:rPr>
            </w:pPr>
            <w:r>
              <w:rPr>
                <w:color w:val="000000"/>
                <w:sz w:val="21"/>
                <w:szCs w:val="21"/>
              </w:rPr>
              <w:t>A</w:t>
            </w:r>
            <w:r>
              <w:rPr>
                <w:color w:val="000000"/>
                <w:sz w:val="21"/>
                <w:szCs w:val="21"/>
                <w:vertAlign w:val="subscript"/>
              </w:rPr>
              <w:t>1</w:t>
            </w:r>
          </w:p>
        </w:tc>
        <w:tc>
          <w:tcPr>
            <w:tcW w:w="2284" w:type="dxa"/>
            <w:tcBorders>
              <w:top w:val="double" w:color="auto" w:sz="6" w:space="0"/>
              <w:bottom w:val="single" w:color="auto" w:sz="4" w:space="0"/>
              <w:right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谭家坊</w:t>
            </w:r>
          </w:p>
        </w:tc>
        <w:tc>
          <w:tcPr>
            <w:tcW w:w="1701" w:type="dxa"/>
            <w:tcBorders>
              <w:top w:val="double" w:color="auto" w:sz="6" w:space="0"/>
              <w:bottom w:val="single" w:color="auto" w:sz="4" w:space="0"/>
              <w:right w:val="single" w:color="auto" w:sz="4" w:space="0"/>
            </w:tcBorders>
            <w:vAlign w:val="center"/>
          </w:tcPr>
          <w:p>
            <w:pPr>
              <w:autoSpaceDE w:val="0"/>
              <w:autoSpaceDN w:val="0"/>
              <w:adjustRightInd w:val="0"/>
              <w:ind w:left="0" w:leftChars="0" w:firstLine="420" w:firstLineChars="200"/>
              <w:jc w:val="both"/>
              <w:rPr>
                <w:color w:val="000000"/>
                <w:sz w:val="21"/>
                <w:szCs w:val="21"/>
              </w:rPr>
            </w:pPr>
            <w:r>
              <w:rPr>
                <w:rFonts w:hint="eastAsia"/>
                <w:color w:val="000000"/>
                <w:sz w:val="21"/>
                <w:szCs w:val="21"/>
              </w:rPr>
              <w:t>北面</w:t>
            </w:r>
          </w:p>
        </w:tc>
        <w:tc>
          <w:tcPr>
            <w:tcW w:w="1843" w:type="dxa"/>
            <w:tcBorders>
              <w:top w:val="double" w:color="auto" w:sz="6" w:space="0"/>
              <w:bottom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1050</w:t>
            </w:r>
          </w:p>
        </w:tc>
        <w:tc>
          <w:tcPr>
            <w:tcW w:w="1732" w:type="dxa"/>
            <w:vMerge w:val="restart"/>
            <w:tcBorders>
              <w:top w:val="double" w:color="auto" w:sz="6" w:space="0"/>
            </w:tcBorders>
            <w:vAlign w:val="center"/>
          </w:tcPr>
          <w:p>
            <w:pPr>
              <w:autoSpaceDE w:val="0"/>
              <w:autoSpaceDN w:val="0"/>
              <w:adjustRightInd w:val="0"/>
              <w:ind w:left="0" w:leftChars="0" w:firstLine="0" w:firstLineChars="0"/>
              <w:jc w:val="both"/>
              <w:rPr>
                <w:color w:val="000000"/>
                <w:sz w:val="21"/>
                <w:szCs w:val="21"/>
              </w:rPr>
            </w:pPr>
            <w:r>
              <w:rPr>
                <w:rFonts w:hint="eastAsia"/>
                <w:color w:val="000000"/>
                <w:sz w:val="21"/>
                <w:szCs w:val="21"/>
              </w:rPr>
              <w:t>PM</w:t>
            </w:r>
            <w:r>
              <w:rPr>
                <w:rFonts w:hint="eastAsia"/>
                <w:color w:val="000000"/>
                <w:sz w:val="21"/>
                <w:szCs w:val="21"/>
                <w:vertAlign w:val="subscript"/>
              </w:rPr>
              <w:t>10</w:t>
            </w:r>
            <w:r>
              <w:rPr>
                <w:rFonts w:hint="eastAsia"/>
                <w:color w:val="000000"/>
                <w:sz w:val="21"/>
                <w:szCs w:val="21"/>
              </w:rPr>
              <w:t>、TSP、SO</w:t>
            </w:r>
            <w:r>
              <w:rPr>
                <w:rFonts w:hint="eastAsia"/>
                <w:color w:val="000000"/>
                <w:sz w:val="21"/>
                <w:szCs w:val="21"/>
                <w:vertAlign w:val="subscript"/>
              </w:rPr>
              <w:t>2</w:t>
            </w:r>
            <w:r>
              <w:rPr>
                <w:rFonts w:hint="eastAsia"/>
                <w:color w:val="000000"/>
                <w:sz w:val="21"/>
                <w:szCs w:val="21"/>
              </w:rPr>
              <w:t>、NO</w:t>
            </w:r>
            <w:r>
              <w:rPr>
                <w:rFonts w:hint="eastAsia"/>
                <w:color w:val="000000"/>
                <w:sz w:val="21"/>
                <w:szCs w:val="21"/>
                <w:vertAlign w:val="subscript"/>
              </w:rPr>
              <w:t>2</w:t>
            </w:r>
            <w:r>
              <w:rPr>
                <w:rFonts w:hint="eastAsia"/>
                <w:color w:val="000000"/>
                <w:sz w:val="21"/>
                <w:szCs w:val="21"/>
              </w:rPr>
              <w:t>、H</w:t>
            </w:r>
            <w:r>
              <w:rPr>
                <w:rFonts w:hint="eastAsia"/>
                <w:color w:val="000000"/>
                <w:sz w:val="21"/>
                <w:szCs w:val="21"/>
                <w:vertAlign w:val="subscript"/>
              </w:rPr>
              <w:t>2</w:t>
            </w:r>
            <w:r>
              <w:rPr>
                <w:rFonts w:hint="eastAsia"/>
                <w:color w:val="000000"/>
                <w:sz w:val="21"/>
                <w:szCs w:val="21"/>
              </w:rPr>
              <w:t>S、NH</w:t>
            </w:r>
            <w:r>
              <w:rPr>
                <w:rFonts w:hint="eastAsia"/>
                <w:color w:val="00000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60" w:type="dxa"/>
            <w:tcBorders>
              <w:top w:val="single" w:color="auto" w:sz="4" w:space="0"/>
              <w:bottom w:val="single" w:color="auto" w:sz="4" w:space="0"/>
              <w:right w:val="single" w:color="auto" w:sz="4" w:space="0"/>
            </w:tcBorders>
            <w:vAlign w:val="center"/>
          </w:tcPr>
          <w:p>
            <w:pPr>
              <w:autoSpaceDE w:val="0"/>
              <w:autoSpaceDN w:val="0"/>
              <w:adjustRightInd w:val="0"/>
              <w:ind w:left="0" w:leftChars="0" w:firstLine="0" w:firstLineChars="0"/>
              <w:jc w:val="both"/>
              <w:rPr>
                <w:color w:val="000000"/>
                <w:sz w:val="21"/>
                <w:szCs w:val="21"/>
              </w:rPr>
            </w:pPr>
            <w:r>
              <w:rPr>
                <w:color w:val="000000"/>
                <w:sz w:val="21"/>
                <w:szCs w:val="21"/>
              </w:rPr>
              <w:t>A</w:t>
            </w:r>
            <w:r>
              <w:rPr>
                <w:rFonts w:hint="eastAsia"/>
                <w:color w:val="000000"/>
                <w:sz w:val="21"/>
                <w:szCs w:val="21"/>
                <w:vertAlign w:val="subscript"/>
              </w:rPr>
              <w:t>2</w:t>
            </w:r>
          </w:p>
        </w:tc>
        <w:tc>
          <w:tcPr>
            <w:tcW w:w="2284" w:type="dxa"/>
            <w:tcBorders>
              <w:top w:val="single" w:color="auto" w:sz="4" w:space="0"/>
              <w:bottom w:val="single" w:color="auto" w:sz="4" w:space="0"/>
              <w:right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何家棱</w:t>
            </w:r>
          </w:p>
        </w:tc>
        <w:tc>
          <w:tcPr>
            <w:tcW w:w="1701" w:type="dxa"/>
            <w:tcBorders>
              <w:top w:val="single" w:color="auto" w:sz="4" w:space="0"/>
              <w:bottom w:val="single" w:color="auto" w:sz="4" w:space="0"/>
              <w:right w:val="single" w:color="auto" w:sz="4" w:space="0"/>
            </w:tcBorders>
            <w:vAlign w:val="center"/>
          </w:tcPr>
          <w:p>
            <w:pPr>
              <w:autoSpaceDE w:val="0"/>
              <w:autoSpaceDN w:val="0"/>
              <w:adjustRightInd w:val="0"/>
              <w:ind w:left="0" w:leftChars="0" w:firstLine="420" w:firstLineChars="200"/>
              <w:jc w:val="both"/>
              <w:rPr>
                <w:color w:val="000000"/>
                <w:sz w:val="21"/>
                <w:szCs w:val="21"/>
              </w:rPr>
            </w:pPr>
            <w:r>
              <w:rPr>
                <w:rFonts w:hint="eastAsia"/>
                <w:color w:val="000000"/>
                <w:sz w:val="21"/>
                <w:szCs w:val="21"/>
              </w:rPr>
              <w:t>南面</w:t>
            </w:r>
          </w:p>
        </w:tc>
        <w:tc>
          <w:tcPr>
            <w:tcW w:w="1843" w:type="dxa"/>
            <w:tcBorders>
              <w:top w:val="single" w:color="auto" w:sz="4" w:space="0"/>
              <w:bottom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950</w:t>
            </w:r>
          </w:p>
        </w:tc>
        <w:tc>
          <w:tcPr>
            <w:tcW w:w="1732" w:type="dxa"/>
            <w:vMerge w:val="continue"/>
            <w:vAlign w:val="center"/>
          </w:tcPr>
          <w:p>
            <w:pPr>
              <w:autoSpaceDE w:val="0"/>
              <w:autoSpaceDN w:val="0"/>
              <w:adjustRightInd w:val="0"/>
              <w:jc w:val="center"/>
              <w:rPr>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60" w:type="dxa"/>
            <w:tcBorders>
              <w:top w:val="single" w:color="auto" w:sz="4" w:space="0"/>
              <w:bottom w:val="single" w:color="auto" w:sz="4" w:space="0"/>
              <w:right w:val="single" w:color="auto" w:sz="4" w:space="0"/>
            </w:tcBorders>
            <w:vAlign w:val="center"/>
          </w:tcPr>
          <w:p>
            <w:pPr>
              <w:autoSpaceDE w:val="0"/>
              <w:autoSpaceDN w:val="0"/>
              <w:adjustRightInd w:val="0"/>
              <w:ind w:left="0" w:leftChars="0" w:firstLine="0" w:firstLineChars="0"/>
              <w:jc w:val="both"/>
              <w:rPr>
                <w:color w:val="000000"/>
                <w:sz w:val="21"/>
                <w:szCs w:val="21"/>
              </w:rPr>
            </w:pPr>
            <w:r>
              <w:rPr>
                <w:color w:val="000000"/>
                <w:sz w:val="21"/>
                <w:szCs w:val="21"/>
              </w:rPr>
              <w:t>A</w:t>
            </w:r>
            <w:r>
              <w:rPr>
                <w:rFonts w:hint="eastAsia"/>
                <w:color w:val="000000"/>
                <w:sz w:val="21"/>
                <w:szCs w:val="21"/>
                <w:vertAlign w:val="subscript"/>
              </w:rPr>
              <w:t>3</w:t>
            </w:r>
          </w:p>
        </w:tc>
        <w:tc>
          <w:tcPr>
            <w:tcW w:w="2284" w:type="dxa"/>
            <w:tcBorders>
              <w:top w:val="single" w:color="auto" w:sz="4" w:space="0"/>
              <w:bottom w:val="single" w:color="auto" w:sz="4" w:space="0"/>
              <w:right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大洋洲中学</w:t>
            </w:r>
          </w:p>
        </w:tc>
        <w:tc>
          <w:tcPr>
            <w:tcW w:w="1701" w:type="dxa"/>
            <w:tcBorders>
              <w:top w:val="single" w:color="auto" w:sz="4" w:space="0"/>
              <w:bottom w:val="single" w:color="auto" w:sz="4" w:space="0"/>
              <w:right w:val="single" w:color="auto" w:sz="4" w:space="0"/>
            </w:tcBorders>
            <w:vAlign w:val="center"/>
          </w:tcPr>
          <w:p>
            <w:pPr>
              <w:ind w:left="0" w:leftChars="0" w:firstLine="420" w:firstLineChars="200"/>
              <w:jc w:val="both"/>
              <w:rPr>
                <w:color w:val="000000"/>
                <w:sz w:val="21"/>
                <w:szCs w:val="21"/>
              </w:rPr>
            </w:pPr>
            <w:r>
              <w:rPr>
                <w:rFonts w:hint="eastAsia"/>
                <w:color w:val="000000"/>
                <w:sz w:val="21"/>
                <w:szCs w:val="21"/>
              </w:rPr>
              <w:t>西面</w:t>
            </w:r>
          </w:p>
        </w:tc>
        <w:tc>
          <w:tcPr>
            <w:tcW w:w="1843" w:type="dxa"/>
            <w:tcBorders>
              <w:top w:val="single" w:color="auto" w:sz="4" w:space="0"/>
              <w:bottom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2300</w:t>
            </w:r>
          </w:p>
        </w:tc>
        <w:tc>
          <w:tcPr>
            <w:tcW w:w="1732" w:type="dxa"/>
            <w:vMerge w:val="continue"/>
            <w:vAlign w:val="center"/>
          </w:tcPr>
          <w:p>
            <w:pPr>
              <w:autoSpaceDE w:val="0"/>
              <w:autoSpaceDN w:val="0"/>
              <w:adjustRightInd w:val="0"/>
              <w:jc w:val="center"/>
              <w:rPr>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60" w:type="dxa"/>
            <w:tcBorders>
              <w:top w:val="single" w:color="auto" w:sz="4" w:space="0"/>
              <w:bottom w:val="single" w:color="auto" w:sz="4" w:space="0"/>
              <w:right w:val="single" w:color="auto" w:sz="4" w:space="0"/>
            </w:tcBorders>
            <w:vAlign w:val="center"/>
          </w:tcPr>
          <w:p>
            <w:pPr>
              <w:autoSpaceDE w:val="0"/>
              <w:autoSpaceDN w:val="0"/>
              <w:adjustRightInd w:val="0"/>
              <w:ind w:left="0" w:leftChars="0" w:firstLine="0" w:firstLineChars="0"/>
              <w:jc w:val="both"/>
              <w:rPr>
                <w:color w:val="000000"/>
                <w:sz w:val="21"/>
                <w:szCs w:val="21"/>
              </w:rPr>
            </w:pPr>
            <w:r>
              <w:rPr>
                <w:color w:val="000000"/>
                <w:sz w:val="21"/>
                <w:szCs w:val="21"/>
              </w:rPr>
              <w:t>A</w:t>
            </w:r>
            <w:r>
              <w:rPr>
                <w:rFonts w:hint="eastAsia"/>
                <w:color w:val="000000"/>
                <w:sz w:val="21"/>
                <w:szCs w:val="21"/>
                <w:vertAlign w:val="subscript"/>
              </w:rPr>
              <w:t>4</w:t>
            </w:r>
          </w:p>
        </w:tc>
        <w:tc>
          <w:tcPr>
            <w:tcW w:w="2284" w:type="dxa"/>
            <w:tcBorders>
              <w:top w:val="single" w:color="auto" w:sz="4" w:space="0"/>
              <w:bottom w:val="single" w:color="auto" w:sz="4" w:space="0"/>
              <w:right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圳上</w:t>
            </w:r>
          </w:p>
        </w:tc>
        <w:tc>
          <w:tcPr>
            <w:tcW w:w="1701" w:type="dxa"/>
            <w:tcBorders>
              <w:top w:val="single" w:color="auto" w:sz="4" w:space="0"/>
              <w:bottom w:val="single" w:color="auto" w:sz="4" w:space="0"/>
              <w:right w:val="single" w:color="auto" w:sz="4" w:space="0"/>
            </w:tcBorders>
            <w:vAlign w:val="center"/>
          </w:tcPr>
          <w:p>
            <w:pPr>
              <w:ind w:left="0" w:leftChars="0" w:firstLine="420" w:firstLineChars="200"/>
              <w:jc w:val="both"/>
              <w:rPr>
                <w:color w:val="000000"/>
                <w:sz w:val="21"/>
                <w:szCs w:val="21"/>
              </w:rPr>
            </w:pPr>
            <w:r>
              <w:rPr>
                <w:rFonts w:hint="eastAsia"/>
                <w:color w:val="000000"/>
                <w:sz w:val="21"/>
                <w:szCs w:val="21"/>
              </w:rPr>
              <w:t>南面</w:t>
            </w:r>
          </w:p>
        </w:tc>
        <w:tc>
          <w:tcPr>
            <w:tcW w:w="1843" w:type="dxa"/>
            <w:tcBorders>
              <w:top w:val="single" w:color="auto" w:sz="4" w:space="0"/>
              <w:bottom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2500</w:t>
            </w:r>
          </w:p>
        </w:tc>
        <w:tc>
          <w:tcPr>
            <w:tcW w:w="1732" w:type="dxa"/>
            <w:vMerge w:val="continue"/>
            <w:vAlign w:val="center"/>
          </w:tcPr>
          <w:p>
            <w:pPr>
              <w:autoSpaceDE w:val="0"/>
              <w:autoSpaceDN w:val="0"/>
              <w:adjustRightInd w:val="0"/>
              <w:jc w:val="center"/>
              <w:rPr>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cantSplit/>
          <w:trHeight w:val="454" w:hRule="atLeast"/>
        </w:trPr>
        <w:tc>
          <w:tcPr>
            <w:tcW w:w="1260" w:type="dxa"/>
            <w:tcBorders>
              <w:top w:val="single" w:color="auto" w:sz="4" w:space="0"/>
              <w:bottom w:val="single" w:color="auto" w:sz="12" w:space="0"/>
              <w:right w:val="single" w:color="auto" w:sz="4" w:space="0"/>
            </w:tcBorders>
            <w:vAlign w:val="center"/>
          </w:tcPr>
          <w:p>
            <w:pPr>
              <w:autoSpaceDE w:val="0"/>
              <w:autoSpaceDN w:val="0"/>
              <w:adjustRightInd w:val="0"/>
              <w:ind w:left="0" w:leftChars="0" w:firstLine="0" w:firstLineChars="0"/>
              <w:jc w:val="both"/>
              <w:rPr>
                <w:color w:val="000000"/>
                <w:sz w:val="21"/>
                <w:szCs w:val="21"/>
              </w:rPr>
            </w:pPr>
            <w:r>
              <w:rPr>
                <w:color w:val="000000"/>
                <w:sz w:val="21"/>
                <w:szCs w:val="21"/>
              </w:rPr>
              <w:t>A</w:t>
            </w:r>
            <w:r>
              <w:rPr>
                <w:rFonts w:hint="eastAsia"/>
                <w:color w:val="000000"/>
                <w:sz w:val="21"/>
                <w:szCs w:val="21"/>
                <w:vertAlign w:val="subscript"/>
              </w:rPr>
              <w:t>5</w:t>
            </w:r>
          </w:p>
        </w:tc>
        <w:tc>
          <w:tcPr>
            <w:tcW w:w="2284" w:type="dxa"/>
            <w:tcBorders>
              <w:top w:val="single" w:color="auto" w:sz="4" w:space="0"/>
              <w:bottom w:val="single" w:color="auto" w:sz="12" w:space="0"/>
              <w:right w:val="single" w:color="auto" w:sz="4" w:space="0"/>
            </w:tcBorders>
            <w:vAlign w:val="center"/>
          </w:tcPr>
          <w:p>
            <w:pPr>
              <w:autoSpaceDE w:val="0"/>
              <w:autoSpaceDN w:val="0"/>
              <w:adjustRightInd w:val="0"/>
              <w:jc w:val="center"/>
              <w:rPr>
                <w:color w:val="000000"/>
                <w:sz w:val="21"/>
                <w:szCs w:val="21"/>
              </w:rPr>
            </w:pPr>
            <w:r>
              <w:rPr>
                <w:rFonts w:hint="eastAsia"/>
                <w:color w:val="000000"/>
                <w:sz w:val="21"/>
                <w:szCs w:val="21"/>
              </w:rPr>
              <w:t>熊家曹村</w:t>
            </w:r>
          </w:p>
        </w:tc>
        <w:tc>
          <w:tcPr>
            <w:tcW w:w="1701" w:type="dxa"/>
            <w:tcBorders>
              <w:top w:val="single" w:color="auto" w:sz="4" w:space="0"/>
              <w:bottom w:val="single" w:color="auto" w:sz="12" w:space="0"/>
              <w:right w:val="single" w:color="auto" w:sz="4" w:space="0"/>
            </w:tcBorders>
            <w:vAlign w:val="center"/>
          </w:tcPr>
          <w:p>
            <w:pPr>
              <w:ind w:left="0" w:leftChars="0" w:firstLine="420" w:firstLineChars="200"/>
              <w:jc w:val="both"/>
              <w:rPr>
                <w:color w:val="000000"/>
                <w:sz w:val="21"/>
                <w:szCs w:val="21"/>
              </w:rPr>
            </w:pPr>
            <w:r>
              <w:rPr>
                <w:rFonts w:hint="eastAsia"/>
                <w:color w:val="000000"/>
                <w:sz w:val="21"/>
                <w:szCs w:val="21"/>
              </w:rPr>
              <w:t>西南面</w:t>
            </w:r>
          </w:p>
        </w:tc>
        <w:tc>
          <w:tcPr>
            <w:tcW w:w="1843" w:type="dxa"/>
            <w:tcBorders>
              <w:top w:val="single" w:color="auto" w:sz="4" w:space="0"/>
              <w:bottom w:val="single" w:color="auto" w:sz="12" w:space="0"/>
            </w:tcBorders>
            <w:vAlign w:val="center"/>
          </w:tcPr>
          <w:p>
            <w:pPr>
              <w:autoSpaceDE w:val="0"/>
              <w:autoSpaceDN w:val="0"/>
              <w:adjustRightInd w:val="0"/>
              <w:jc w:val="center"/>
              <w:rPr>
                <w:color w:val="000000"/>
                <w:sz w:val="21"/>
                <w:szCs w:val="21"/>
              </w:rPr>
            </w:pPr>
            <w:r>
              <w:rPr>
                <w:rFonts w:hint="eastAsia"/>
                <w:color w:val="000000"/>
                <w:sz w:val="21"/>
                <w:szCs w:val="21"/>
              </w:rPr>
              <w:t>5400</w:t>
            </w:r>
          </w:p>
        </w:tc>
        <w:tc>
          <w:tcPr>
            <w:tcW w:w="1732" w:type="dxa"/>
            <w:vMerge w:val="continue"/>
            <w:tcBorders>
              <w:bottom w:val="single" w:color="auto" w:sz="12" w:space="0"/>
            </w:tcBorders>
            <w:vAlign w:val="center"/>
          </w:tcPr>
          <w:p>
            <w:pPr>
              <w:autoSpaceDE w:val="0"/>
              <w:autoSpaceDN w:val="0"/>
              <w:adjustRightInd w:val="0"/>
              <w:jc w:val="center"/>
              <w:rPr>
                <w:color w:val="000000"/>
                <w:sz w:val="21"/>
                <w:szCs w:val="21"/>
              </w:rPr>
            </w:pPr>
          </w:p>
        </w:tc>
      </w:tr>
    </w:tbl>
    <w:p>
      <w:pPr>
        <w:pStyle w:val="3"/>
        <w:rPr>
          <w:rFonts w:ascii="仿宋" w:hAnsi="仿宋" w:eastAsia="仿宋"/>
        </w:rPr>
      </w:pPr>
      <w:bookmarkStart w:id="285" w:name="_Toc15271"/>
      <w:r>
        <w:rPr>
          <w:rFonts w:ascii="仿宋" w:hAnsi="仿宋" w:eastAsia="仿宋"/>
        </w:rPr>
        <w:t>7.4应急终止</w:t>
      </w:r>
      <w:bookmarkEnd w:id="285"/>
    </w:p>
    <w:p>
      <w:pPr>
        <w:pStyle w:val="132"/>
        <w:rPr>
          <w:rFonts w:ascii="仿宋" w:hAnsi="仿宋" w:eastAsia="仿宋"/>
        </w:rPr>
      </w:pPr>
      <w:bookmarkStart w:id="286" w:name="_Toc29629"/>
      <w:r>
        <w:rPr>
          <w:rFonts w:ascii="仿宋" w:hAnsi="仿宋" w:eastAsia="仿宋"/>
        </w:rPr>
        <w:t>7.4.1应急终止的条件</w:t>
      </w:r>
      <w:bookmarkEnd w:id="286"/>
    </w:p>
    <w:p>
      <w:pPr>
        <w:pStyle w:val="4"/>
        <w:ind w:firstLine="560"/>
        <w:rPr>
          <w:rFonts w:ascii="仿宋" w:hAnsi="仿宋" w:eastAsia="仿宋"/>
        </w:rPr>
      </w:pPr>
      <w:r>
        <w:rPr>
          <w:rFonts w:ascii="仿宋" w:hAnsi="仿宋" w:eastAsia="仿宋"/>
        </w:rPr>
        <w:t>符合下列应急终止条件之一的，经事件现场应急指挥部批准后，现场应急结束。</w:t>
      </w:r>
    </w:p>
    <w:p>
      <w:pPr>
        <w:pStyle w:val="4"/>
        <w:ind w:firstLine="560"/>
        <w:rPr>
          <w:rFonts w:ascii="仿宋" w:hAnsi="仿宋" w:eastAsia="仿宋"/>
        </w:rPr>
      </w:pPr>
      <w:r>
        <w:rPr>
          <w:rFonts w:ascii="仿宋" w:hAnsi="仿宋" w:eastAsia="仿宋"/>
        </w:rPr>
        <w:t>（1）事故现场得到控制，事件条件已经消除；</w:t>
      </w:r>
    </w:p>
    <w:p>
      <w:pPr>
        <w:pStyle w:val="4"/>
        <w:ind w:firstLine="560"/>
        <w:rPr>
          <w:rFonts w:ascii="仿宋" w:hAnsi="仿宋" w:eastAsia="仿宋"/>
        </w:rPr>
      </w:pPr>
      <w:r>
        <w:rPr>
          <w:rFonts w:ascii="仿宋" w:hAnsi="仿宋" w:eastAsia="仿宋"/>
        </w:rPr>
        <w:t>（2）泄漏已降至规定限值内；</w:t>
      </w:r>
    </w:p>
    <w:p>
      <w:pPr>
        <w:pStyle w:val="4"/>
        <w:ind w:firstLine="560"/>
        <w:rPr>
          <w:rFonts w:ascii="仿宋" w:hAnsi="仿宋" w:eastAsia="仿宋"/>
        </w:rPr>
      </w:pPr>
      <w:r>
        <w:rPr>
          <w:rFonts w:ascii="仿宋" w:hAnsi="仿宋" w:eastAsia="仿宋"/>
        </w:rPr>
        <w:t>（3）事故造成的危害已被彻底清除，无继发可能；</w:t>
      </w:r>
    </w:p>
    <w:p>
      <w:pPr>
        <w:pStyle w:val="4"/>
        <w:ind w:firstLine="560"/>
        <w:rPr>
          <w:rFonts w:ascii="仿宋" w:hAnsi="仿宋" w:eastAsia="仿宋"/>
        </w:rPr>
      </w:pPr>
      <w:r>
        <w:rPr>
          <w:rFonts w:ascii="仿宋" w:hAnsi="仿宋" w:eastAsia="仿宋"/>
        </w:rPr>
        <w:t>（4）事故现场的各种专业应急处置行动已无继续的必要。</w:t>
      </w:r>
    </w:p>
    <w:p>
      <w:pPr>
        <w:pStyle w:val="132"/>
        <w:rPr>
          <w:rFonts w:ascii="仿宋" w:hAnsi="仿宋" w:eastAsia="仿宋"/>
        </w:rPr>
      </w:pPr>
      <w:bookmarkStart w:id="287" w:name="_Toc1277"/>
      <w:r>
        <w:rPr>
          <w:rFonts w:ascii="仿宋" w:hAnsi="仿宋" w:eastAsia="仿宋"/>
        </w:rPr>
        <w:t>7.4.2应急终止的程序</w:t>
      </w:r>
      <w:bookmarkEnd w:id="287"/>
    </w:p>
    <w:p>
      <w:pPr>
        <w:pStyle w:val="4"/>
        <w:ind w:firstLine="560"/>
        <w:rPr>
          <w:rFonts w:ascii="仿宋" w:hAnsi="仿宋" w:eastAsia="仿宋"/>
        </w:rPr>
      </w:pPr>
      <w:r>
        <w:rPr>
          <w:rFonts w:ascii="仿宋" w:hAnsi="仿宋" w:eastAsia="仿宋"/>
        </w:rPr>
        <w:t>（1）现场救援指挥部确认终止时机，或事故责任单位提出，经现场救援指挥部批准。</w:t>
      </w:r>
    </w:p>
    <w:p>
      <w:pPr>
        <w:pStyle w:val="4"/>
        <w:ind w:firstLine="560"/>
        <w:rPr>
          <w:rFonts w:ascii="仿宋" w:hAnsi="仿宋" w:eastAsia="仿宋"/>
        </w:rPr>
      </w:pPr>
      <w:r>
        <w:rPr>
          <w:rFonts w:ascii="仿宋" w:hAnsi="仿宋" w:eastAsia="仿宋"/>
        </w:rPr>
        <w:t>（2）现场救援指挥部向各应急救援</w:t>
      </w:r>
      <w:r>
        <w:rPr>
          <w:rFonts w:hint="eastAsia" w:ascii="仿宋" w:hAnsi="仿宋" w:eastAsia="仿宋"/>
        </w:rPr>
        <w:t>组</w:t>
      </w:r>
      <w:r>
        <w:rPr>
          <w:rFonts w:ascii="仿宋" w:hAnsi="仿宋" w:eastAsia="仿宋"/>
        </w:rPr>
        <w:t>下达应急终止命令。</w:t>
      </w:r>
    </w:p>
    <w:p>
      <w:pPr>
        <w:pStyle w:val="4"/>
        <w:ind w:firstLine="560"/>
        <w:rPr>
          <w:rFonts w:ascii="仿宋" w:hAnsi="仿宋" w:eastAsia="仿宋"/>
        </w:rPr>
      </w:pPr>
      <w:r>
        <w:rPr>
          <w:rFonts w:ascii="仿宋" w:hAnsi="仿宋" w:eastAsia="仿宋"/>
        </w:rPr>
        <w:t>（3）应急状态终止后，继续配合监测单位进行现场监测，直到其它补救措施无需继续进行为止。</w:t>
      </w:r>
    </w:p>
    <w:p>
      <w:pPr>
        <w:pStyle w:val="3"/>
        <w:rPr>
          <w:rFonts w:ascii="仿宋" w:hAnsi="仿宋" w:eastAsia="仿宋"/>
        </w:rPr>
      </w:pPr>
      <w:bookmarkStart w:id="288" w:name="_Toc14819"/>
      <w:r>
        <w:rPr>
          <w:rFonts w:ascii="仿宋" w:hAnsi="仿宋" w:eastAsia="仿宋"/>
        </w:rPr>
        <w:t>7.5应急终止后的行动</w:t>
      </w:r>
      <w:bookmarkEnd w:id="288"/>
    </w:p>
    <w:p>
      <w:pPr>
        <w:pStyle w:val="4"/>
        <w:ind w:firstLine="560"/>
        <w:rPr>
          <w:rFonts w:ascii="仿宋" w:hAnsi="仿宋" w:eastAsia="仿宋"/>
        </w:rPr>
      </w:pPr>
      <w:r>
        <w:rPr>
          <w:rFonts w:hint="eastAsia" w:ascii="仿宋" w:hAnsi="仿宋" w:eastAsia="仿宋"/>
        </w:rPr>
        <w:t>（1）</w:t>
      </w:r>
      <w:r>
        <w:rPr>
          <w:rFonts w:ascii="仿宋" w:hAnsi="仿宋" w:eastAsia="仿宋"/>
        </w:rPr>
        <w:t>通知本单位</w:t>
      </w:r>
      <w:r>
        <w:rPr>
          <w:rFonts w:hint="eastAsia" w:ascii="仿宋" w:hAnsi="仿宋" w:eastAsia="仿宋"/>
        </w:rPr>
        <w:t>各部门</w:t>
      </w:r>
      <w:r>
        <w:rPr>
          <w:rFonts w:ascii="仿宋" w:hAnsi="仿宋" w:eastAsia="仿宋"/>
        </w:rPr>
        <w:t>、周边企业或事业单位、社区及人员，事件危险已解除。</w:t>
      </w:r>
    </w:p>
    <w:p>
      <w:pPr>
        <w:pStyle w:val="4"/>
        <w:ind w:firstLine="560"/>
        <w:rPr>
          <w:rFonts w:ascii="仿宋" w:hAnsi="仿宋" w:eastAsia="仿宋"/>
        </w:rPr>
      </w:pPr>
      <w:r>
        <w:rPr>
          <w:rFonts w:hint="eastAsia" w:ascii="仿宋" w:hAnsi="仿宋" w:eastAsia="仿宋"/>
        </w:rPr>
        <w:t>（2）</w:t>
      </w:r>
      <w:r>
        <w:rPr>
          <w:rFonts w:ascii="仿宋" w:hAnsi="仿宋" w:eastAsia="仿宋"/>
        </w:rPr>
        <w:t>对现场中暴露的工作人员、应急行动人员和受污染设备进行清洁净化。</w:t>
      </w:r>
    </w:p>
    <w:p>
      <w:pPr>
        <w:pStyle w:val="4"/>
        <w:ind w:firstLine="560"/>
        <w:rPr>
          <w:rFonts w:ascii="仿宋" w:hAnsi="仿宋" w:eastAsia="仿宋"/>
        </w:rPr>
      </w:pPr>
      <w:r>
        <w:rPr>
          <w:rFonts w:hint="eastAsia" w:ascii="仿宋" w:hAnsi="仿宋" w:eastAsia="仿宋"/>
        </w:rPr>
        <w:t>（3）</w:t>
      </w:r>
      <w:r>
        <w:rPr>
          <w:rFonts w:ascii="仿宋" w:hAnsi="仿宋" w:eastAsia="仿宋"/>
        </w:rPr>
        <w:t>准备并完成事件情况上报。</w:t>
      </w:r>
    </w:p>
    <w:p>
      <w:pPr>
        <w:pStyle w:val="4"/>
        <w:ind w:firstLine="560"/>
        <w:rPr>
          <w:rFonts w:ascii="仿宋" w:hAnsi="仿宋" w:eastAsia="仿宋"/>
        </w:rPr>
      </w:pPr>
      <w:r>
        <w:rPr>
          <w:rFonts w:hint="eastAsia" w:ascii="仿宋" w:hAnsi="仿宋" w:eastAsia="仿宋"/>
        </w:rPr>
        <w:t>（4）</w:t>
      </w:r>
      <w:r>
        <w:rPr>
          <w:rFonts w:ascii="仿宋" w:hAnsi="仿宋" w:eastAsia="仿宋"/>
        </w:rPr>
        <w:t>向事件调查处理小组移交相关事项。</w:t>
      </w:r>
    </w:p>
    <w:p>
      <w:pPr>
        <w:pStyle w:val="4"/>
        <w:ind w:firstLine="560"/>
        <w:rPr>
          <w:rFonts w:ascii="仿宋" w:hAnsi="仿宋" w:eastAsia="仿宋"/>
        </w:rPr>
      </w:pPr>
      <w:r>
        <w:rPr>
          <w:rFonts w:hint="eastAsia" w:ascii="仿宋" w:hAnsi="仿宋" w:eastAsia="仿宋"/>
        </w:rPr>
        <w:t>（5）</w:t>
      </w:r>
      <w:r>
        <w:rPr>
          <w:rFonts w:ascii="仿宋" w:hAnsi="仿宋" w:eastAsia="仿宋"/>
        </w:rPr>
        <w:t>事件原因、损失调查与责任认定。</w:t>
      </w:r>
    </w:p>
    <w:p>
      <w:pPr>
        <w:pStyle w:val="4"/>
        <w:ind w:firstLine="560"/>
        <w:rPr>
          <w:rFonts w:ascii="仿宋" w:hAnsi="仿宋" w:eastAsia="仿宋"/>
        </w:rPr>
      </w:pPr>
      <w:r>
        <w:rPr>
          <w:rFonts w:hint="eastAsia" w:ascii="仿宋" w:hAnsi="仿宋" w:eastAsia="仿宋"/>
        </w:rPr>
        <w:t>（6）</w:t>
      </w:r>
      <w:r>
        <w:rPr>
          <w:rFonts w:ascii="仿宋" w:hAnsi="仿宋" w:eastAsia="仿宋"/>
        </w:rPr>
        <w:t>实施应急过程评价。</w:t>
      </w:r>
    </w:p>
    <w:p>
      <w:pPr>
        <w:pStyle w:val="4"/>
        <w:ind w:firstLine="560"/>
        <w:rPr>
          <w:rFonts w:ascii="仿宋" w:hAnsi="仿宋" w:eastAsia="仿宋"/>
        </w:rPr>
      </w:pPr>
      <w:r>
        <w:rPr>
          <w:rFonts w:hint="eastAsia" w:ascii="仿宋" w:hAnsi="仿宋" w:eastAsia="仿宋"/>
        </w:rPr>
        <w:t>（7）</w:t>
      </w:r>
      <w:r>
        <w:rPr>
          <w:rFonts w:ascii="仿宋" w:hAnsi="仿宋" w:eastAsia="仿宋"/>
        </w:rPr>
        <w:t>事件应急救援工作总结报告。</w:t>
      </w:r>
    </w:p>
    <w:p>
      <w:pPr>
        <w:pStyle w:val="4"/>
        <w:ind w:firstLine="560"/>
        <w:rPr>
          <w:rFonts w:ascii="仿宋" w:hAnsi="仿宋" w:eastAsia="仿宋"/>
        </w:rPr>
      </w:pPr>
      <w:r>
        <w:rPr>
          <w:rFonts w:hint="eastAsia" w:ascii="仿宋" w:hAnsi="仿宋" w:eastAsia="仿宋"/>
        </w:rPr>
        <w:t>（8）</w:t>
      </w:r>
      <w:r>
        <w:rPr>
          <w:rFonts w:ascii="仿宋" w:hAnsi="仿宋" w:eastAsia="仿宋"/>
        </w:rPr>
        <w:t>突发环境事件应急预案的修订、完善。</w:t>
      </w:r>
    </w:p>
    <w:p>
      <w:pPr>
        <w:pStyle w:val="4"/>
        <w:ind w:firstLine="560"/>
        <w:rPr>
          <w:rFonts w:ascii="仿宋" w:hAnsi="仿宋" w:eastAsia="仿宋"/>
        </w:rPr>
      </w:pPr>
      <w:r>
        <w:rPr>
          <w:rFonts w:hint="eastAsia" w:ascii="仿宋" w:hAnsi="仿宋" w:eastAsia="仿宋"/>
        </w:rPr>
        <w:t>（9）</w:t>
      </w:r>
      <w:r>
        <w:rPr>
          <w:rFonts w:ascii="仿宋" w:hAnsi="仿宋" w:eastAsia="仿宋"/>
        </w:rPr>
        <w:t>维护、保养应急仪器设备。</w:t>
      </w:r>
    </w:p>
    <w:p>
      <w:pPr>
        <w:pStyle w:val="2"/>
        <w:rPr>
          <w:rFonts w:ascii="仿宋" w:hAnsi="仿宋" w:eastAsia="仿宋"/>
        </w:rPr>
      </w:pPr>
      <w:bookmarkStart w:id="289" w:name="_Toc25009"/>
      <w:r>
        <w:rPr>
          <w:rFonts w:ascii="仿宋" w:hAnsi="仿宋" w:eastAsia="仿宋"/>
        </w:rPr>
        <w:t>8后期处置</w:t>
      </w:r>
      <w:bookmarkEnd w:id="289"/>
    </w:p>
    <w:p>
      <w:pPr>
        <w:pStyle w:val="3"/>
        <w:rPr>
          <w:rFonts w:ascii="仿宋" w:hAnsi="仿宋" w:eastAsia="仿宋"/>
        </w:rPr>
      </w:pPr>
      <w:bookmarkStart w:id="290" w:name="_Toc21879"/>
      <w:r>
        <w:rPr>
          <w:rFonts w:ascii="仿宋" w:hAnsi="仿宋" w:eastAsia="仿宋"/>
        </w:rPr>
        <w:t>善后处置</w:t>
      </w:r>
      <w:bookmarkEnd w:id="290"/>
    </w:p>
    <w:p>
      <w:pPr>
        <w:pStyle w:val="4"/>
        <w:ind w:firstLine="560"/>
        <w:rPr>
          <w:rFonts w:ascii="仿宋" w:hAnsi="仿宋" w:eastAsia="仿宋"/>
        </w:rPr>
      </w:pPr>
      <w:r>
        <w:rPr>
          <w:rFonts w:ascii="仿宋" w:hAnsi="仿宋" w:eastAsia="仿宋"/>
        </w:rPr>
        <w:t>泄漏事故收集的废液及事故消防废水由泵打回贮槽</w:t>
      </w:r>
      <w:r>
        <w:rPr>
          <w:rFonts w:hint="eastAsia" w:ascii="仿宋" w:hAnsi="仿宋" w:eastAsia="仿宋"/>
        </w:rPr>
        <w:t>，仍</w:t>
      </w:r>
      <w:r>
        <w:rPr>
          <w:rFonts w:ascii="仿宋" w:hAnsi="仿宋" w:eastAsia="仿宋"/>
        </w:rPr>
        <w:t>由本公司继续处置</w:t>
      </w:r>
      <w:r>
        <w:rPr>
          <w:rFonts w:hint="eastAsia" w:ascii="仿宋" w:hAnsi="仿宋" w:eastAsia="仿宋"/>
        </w:rPr>
        <w:t>；</w:t>
      </w:r>
      <w:r>
        <w:rPr>
          <w:rFonts w:ascii="仿宋" w:hAnsi="仿宋" w:eastAsia="仿宋"/>
        </w:rPr>
        <w:t>吸收泄漏物的沙土委托有资质单位处置。</w:t>
      </w:r>
    </w:p>
    <w:p>
      <w:pPr>
        <w:pStyle w:val="4"/>
        <w:ind w:firstLine="560"/>
        <w:rPr>
          <w:rFonts w:ascii="仿宋" w:hAnsi="仿宋" w:eastAsia="仿宋"/>
        </w:rPr>
      </w:pPr>
      <w:r>
        <w:rPr>
          <w:rFonts w:ascii="仿宋" w:hAnsi="仿宋" w:eastAsia="仿宋"/>
        </w:rPr>
        <w:t>确定事故救援工作已结束、事故危险已解除后，对受灾人员进行安置及相应的损失赔偿；组织专家对突发环境事件中长期环境影响进行评估，提出生态补偿和对遭受污染的生态环境进行恢复的建议。</w:t>
      </w:r>
    </w:p>
    <w:p>
      <w:pPr>
        <w:pStyle w:val="4"/>
        <w:ind w:firstLine="560"/>
        <w:rPr>
          <w:rFonts w:ascii="仿宋" w:hAnsi="仿宋" w:eastAsia="仿宋"/>
        </w:rPr>
      </w:pPr>
      <w:r>
        <w:rPr>
          <w:rFonts w:hint="eastAsia" w:ascii="仿宋" w:hAnsi="仿宋" w:eastAsia="仿宋"/>
        </w:rPr>
        <w:t>（1）确认事故现场无隐患后，各部门应及时调整人员，检修设备，尽快恢复生产，尽可能降低事故损失。</w:t>
      </w:r>
    </w:p>
    <w:p>
      <w:pPr>
        <w:pStyle w:val="4"/>
        <w:ind w:firstLine="560"/>
        <w:rPr>
          <w:rFonts w:ascii="仿宋" w:hAnsi="仿宋" w:eastAsia="仿宋"/>
        </w:rPr>
      </w:pPr>
      <w:r>
        <w:rPr>
          <w:rFonts w:hint="eastAsia" w:ascii="仿宋" w:hAnsi="仿宋" w:eastAsia="仿宋"/>
        </w:rPr>
        <w:t>（2）应急结束后，发生人员伤亡的，必须组织人事部、财务部、后勤部等部门对受伤人员及其家属进行安抚，工伤认定等；财产损失由财务产权部进行统计并与保险公司联系，事件发生部门做好配合工作。</w:t>
      </w:r>
    </w:p>
    <w:p>
      <w:pPr>
        <w:pStyle w:val="4"/>
        <w:ind w:firstLine="560"/>
        <w:rPr>
          <w:rFonts w:ascii="仿宋" w:hAnsi="仿宋" w:eastAsia="仿宋"/>
        </w:rPr>
      </w:pPr>
      <w:r>
        <w:rPr>
          <w:rFonts w:hint="eastAsia" w:ascii="仿宋" w:hAnsi="仿宋" w:eastAsia="仿宋"/>
        </w:rPr>
        <w:t>（3）公司组织相关人员召开专题会议，分析评议应急响应过程中的成绩与不足，评估应急救援能力，对于预案中与实际工作中的不符合部分进行修改完善，经组织评审后发布，再报上级部门备案。</w:t>
      </w:r>
    </w:p>
    <w:p>
      <w:pPr>
        <w:pStyle w:val="4"/>
        <w:ind w:firstLine="560"/>
        <w:rPr>
          <w:rFonts w:ascii="仿宋" w:hAnsi="仿宋" w:eastAsia="仿宋"/>
        </w:rPr>
      </w:pPr>
      <w:r>
        <w:rPr>
          <w:rFonts w:hint="eastAsia" w:ascii="仿宋" w:hAnsi="仿宋" w:eastAsia="仿宋"/>
        </w:rPr>
        <w:t>（4）事故处理过程中产生的消防废水由本公司处理处置、泄漏处理废物委托有资质单位处理处置。</w:t>
      </w:r>
    </w:p>
    <w:p>
      <w:pPr>
        <w:pStyle w:val="2"/>
        <w:rPr>
          <w:rFonts w:ascii="仿宋" w:hAnsi="仿宋" w:eastAsia="仿宋"/>
        </w:rPr>
      </w:pPr>
      <w:bookmarkStart w:id="291" w:name="_Toc15493"/>
      <w:r>
        <w:rPr>
          <w:rFonts w:ascii="仿宋" w:hAnsi="仿宋" w:eastAsia="仿宋"/>
        </w:rPr>
        <w:t>9应急培训和演练</w:t>
      </w:r>
      <w:bookmarkEnd w:id="291"/>
    </w:p>
    <w:p>
      <w:pPr>
        <w:pStyle w:val="3"/>
        <w:rPr>
          <w:rFonts w:ascii="仿宋" w:hAnsi="仿宋" w:eastAsia="仿宋"/>
        </w:rPr>
      </w:pPr>
      <w:bookmarkStart w:id="292" w:name="_Toc29804"/>
      <w:r>
        <w:rPr>
          <w:rFonts w:ascii="仿宋" w:hAnsi="仿宋" w:eastAsia="仿宋"/>
        </w:rPr>
        <w:t>9.1培训</w:t>
      </w:r>
      <w:bookmarkEnd w:id="292"/>
    </w:p>
    <w:p>
      <w:pPr>
        <w:pStyle w:val="4"/>
        <w:ind w:firstLine="560"/>
        <w:rPr>
          <w:rFonts w:ascii="仿宋" w:hAnsi="仿宋" w:eastAsia="仿宋"/>
        </w:rPr>
      </w:pPr>
      <w:r>
        <w:rPr>
          <w:rFonts w:ascii="仿宋" w:hAnsi="仿宋" w:eastAsia="仿宋"/>
        </w:rPr>
        <w:t>工厂员工应进行相关的持续性培训，使员工认识紧急事故的情况下如何阻止这种状况的发生。培训要求每年一次</w:t>
      </w:r>
      <w:r>
        <w:rPr>
          <w:rFonts w:hint="eastAsia" w:ascii="仿宋" w:hAnsi="仿宋" w:eastAsia="仿宋"/>
        </w:rPr>
        <w:t>，并将培训内容、签到表、培训照片形成书面台账备查。</w:t>
      </w:r>
    </w:p>
    <w:p>
      <w:pPr>
        <w:pStyle w:val="132"/>
        <w:rPr>
          <w:rFonts w:ascii="仿宋" w:hAnsi="仿宋" w:eastAsia="仿宋"/>
        </w:rPr>
      </w:pPr>
      <w:bookmarkStart w:id="293" w:name="_Toc10482"/>
      <w:r>
        <w:rPr>
          <w:rFonts w:ascii="仿宋" w:hAnsi="仿宋" w:eastAsia="仿宋"/>
        </w:rPr>
        <w:t>9.1.1培训要求</w:t>
      </w:r>
      <w:bookmarkEnd w:id="293"/>
    </w:p>
    <w:p>
      <w:pPr>
        <w:pStyle w:val="4"/>
        <w:ind w:firstLine="560"/>
        <w:rPr>
          <w:rFonts w:ascii="仿宋" w:hAnsi="仿宋" w:eastAsia="仿宋"/>
        </w:rPr>
      </w:pPr>
      <w:r>
        <w:rPr>
          <w:rFonts w:hint="eastAsia" w:ascii="仿宋" w:hAnsi="仿宋" w:eastAsia="仿宋"/>
        </w:rPr>
        <w:t>（1）</w:t>
      </w:r>
      <w:r>
        <w:rPr>
          <w:rFonts w:ascii="仿宋" w:hAnsi="仿宋" w:eastAsia="仿宋"/>
        </w:rPr>
        <w:t>充分了解自己的工厂紧急事故反应和执行预案和撤离预案中的位置。</w:t>
      </w:r>
    </w:p>
    <w:p>
      <w:pPr>
        <w:pStyle w:val="4"/>
        <w:ind w:firstLine="560"/>
        <w:rPr>
          <w:rFonts w:ascii="仿宋" w:hAnsi="仿宋" w:eastAsia="仿宋"/>
        </w:rPr>
      </w:pPr>
      <w:r>
        <w:rPr>
          <w:rFonts w:hint="eastAsia" w:ascii="仿宋" w:hAnsi="仿宋" w:eastAsia="仿宋"/>
        </w:rPr>
        <w:t>（2）</w:t>
      </w:r>
      <w:r>
        <w:rPr>
          <w:rFonts w:ascii="仿宋" w:hAnsi="仿宋" w:eastAsia="仿宋"/>
        </w:rPr>
        <w:t>充分了解现在工厂的危险性的现状。</w:t>
      </w:r>
    </w:p>
    <w:p>
      <w:pPr>
        <w:pStyle w:val="4"/>
        <w:ind w:firstLine="560"/>
        <w:rPr>
          <w:rFonts w:ascii="仿宋" w:hAnsi="仿宋" w:eastAsia="仿宋"/>
        </w:rPr>
      </w:pPr>
      <w:r>
        <w:rPr>
          <w:rFonts w:hint="eastAsia" w:ascii="仿宋" w:hAnsi="仿宋" w:eastAsia="仿宋"/>
        </w:rPr>
        <w:t>（3）</w:t>
      </w:r>
      <w:r>
        <w:rPr>
          <w:rFonts w:ascii="仿宋" w:hAnsi="仿宋" w:eastAsia="仿宋"/>
        </w:rPr>
        <w:t>充分了解正确的应急事故预案的通知程序和工作所需的详细操作程序。</w:t>
      </w:r>
    </w:p>
    <w:p>
      <w:pPr>
        <w:pStyle w:val="4"/>
        <w:ind w:firstLine="560"/>
        <w:rPr>
          <w:rFonts w:ascii="仿宋" w:hAnsi="仿宋" w:eastAsia="仿宋"/>
        </w:rPr>
      </w:pPr>
      <w:r>
        <w:rPr>
          <w:rFonts w:hint="eastAsia" w:ascii="仿宋" w:hAnsi="仿宋" w:eastAsia="仿宋"/>
        </w:rPr>
        <w:t>（4）</w:t>
      </w:r>
      <w:r>
        <w:rPr>
          <w:rFonts w:ascii="仿宋" w:hAnsi="仿宋" w:eastAsia="仿宋"/>
        </w:rPr>
        <w:t>了解基本危险评估技能。</w:t>
      </w:r>
    </w:p>
    <w:p>
      <w:pPr>
        <w:pStyle w:val="4"/>
        <w:ind w:firstLine="560"/>
        <w:rPr>
          <w:rFonts w:ascii="仿宋" w:hAnsi="仿宋" w:eastAsia="仿宋"/>
        </w:rPr>
      </w:pPr>
      <w:r>
        <w:rPr>
          <w:rFonts w:hint="eastAsia" w:ascii="仿宋" w:hAnsi="仿宋" w:eastAsia="仿宋"/>
        </w:rPr>
        <w:t>（5）</w:t>
      </w:r>
      <w:r>
        <w:rPr>
          <w:rFonts w:ascii="仿宋" w:hAnsi="仿宋" w:eastAsia="仿宋"/>
        </w:rPr>
        <w:t>了解基本鉴别和运用的个人保护装备。</w:t>
      </w:r>
    </w:p>
    <w:p>
      <w:pPr>
        <w:pStyle w:val="4"/>
        <w:ind w:firstLine="560"/>
        <w:rPr>
          <w:rFonts w:ascii="仿宋" w:hAnsi="仿宋" w:eastAsia="仿宋"/>
        </w:rPr>
      </w:pPr>
      <w:r>
        <w:rPr>
          <w:rFonts w:hint="eastAsia" w:ascii="仿宋" w:hAnsi="仿宋" w:eastAsia="仿宋"/>
        </w:rPr>
        <w:t>（6）</w:t>
      </w:r>
      <w:r>
        <w:rPr>
          <w:rFonts w:ascii="仿宋" w:hAnsi="仿宋" w:eastAsia="仿宋"/>
        </w:rPr>
        <w:t>充分了解正确选择和使用控制和围堵设备的技巧。</w:t>
      </w:r>
    </w:p>
    <w:p>
      <w:pPr>
        <w:pStyle w:val="4"/>
        <w:ind w:firstLine="560"/>
        <w:rPr>
          <w:rFonts w:ascii="仿宋" w:hAnsi="仿宋" w:eastAsia="仿宋"/>
        </w:rPr>
      </w:pPr>
      <w:r>
        <w:rPr>
          <w:rFonts w:hint="eastAsia" w:ascii="仿宋" w:hAnsi="仿宋" w:eastAsia="仿宋"/>
        </w:rPr>
        <w:t>（7）</w:t>
      </w:r>
      <w:r>
        <w:rPr>
          <w:rFonts w:ascii="仿宋" w:hAnsi="仿宋" w:eastAsia="仿宋"/>
        </w:rPr>
        <w:t>了解基本排污技能。</w:t>
      </w:r>
    </w:p>
    <w:p>
      <w:pPr>
        <w:pStyle w:val="4"/>
        <w:ind w:firstLine="560"/>
        <w:rPr>
          <w:rFonts w:ascii="仿宋" w:hAnsi="仿宋" w:eastAsia="仿宋"/>
        </w:rPr>
      </w:pPr>
      <w:r>
        <w:rPr>
          <w:rFonts w:hint="eastAsia" w:ascii="仿宋" w:hAnsi="仿宋" w:eastAsia="仿宋"/>
        </w:rPr>
        <w:t>（8）</w:t>
      </w:r>
      <w:r>
        <w:rPr>
          <w:rFonts w:ascii="仿宋" w:hAnsi="仿宋" w:eastAsia="仿宋"/>
        </w:rPr>
        <w:t>了解对偶然性化学品事故采取有效措施的方法，尤其是在需要使用呼吸器时的暴露情况下如何处理。</w:t>
      </w:r>
    </w:p>
    <w:p>
      <w:pPr>
        <w:pStyle w:val="4"/>
        <w:ind w:firstLine="560"/>
        <w:rPr>
          <w:rFonts w:ascii="仿宋" w:hAnsi="仿宋" w:eastAsia="仿宋"/>
        </w:rPr>
      </w:pPr>
      <w:r>
        <w:rPr>
          <w:rFonts w:hint="eastAsia" w:ascii="仿宋" w:hAnsi="仿宋" w:eastAsia="仿宋"/>
        </w:rPr>
        <w:t>（9）</w:t>
      </w:r>
      <w:r>
        <w:rPr>
          <w:rFonts w:ascii="仿宋" w:hAnsi="仿宋" w:eastAsia="仿宋"/>
        </w:rPr>
        <w:t>了解对非偶然性化学品事故采取有效措施的方法，尤其是在需要使用呼吸器时的暴露情况下如何处理。</w:t>
      </w:r>
    </w:p>
    <w:p>
      <w:pPr>
        <w:pStyle w:val="4"/>
        <w:ind w:firstLine="560"/>
        <w:rPr>
          <w:rFonts w:ascii="仿宋" w:hAnsi="仿宋" w:eastAsia="仿宋"/>
        </w:rPr>
      </w:pPr>
      <w:r>
        <w:rPr>
          <w:rFonts w:hint="eastAsia" w:ascii="仿宋" w:hAnsi="仿宋" w:eastAsia="仿宋"/>
        </w:rPr>
        <w:t>（10）</w:t>
      </w:r>
      <w:r>
        <w:rPr>
          <w:rFonts w:ascii="仿宋" w:hAnsi="仿宋" w:eastAsia="仿宋"/>
        </w:rPr>
        <w:t>了解如何使用个人防护设备。</w:t>
      </w:r>
    </w:p>
    <w:p>
      <w:pPr>
        <w:pStyle w:val="4"/>
        <w:ind w:firstLine="560"/>
        <w:rPr>
          <w:rFonts w:ascii="仿宋" w:hAnsi="仿宋" w:eastAsia="仿宋"/>
          <w:color w:val="FF0000"/>
        </w:rPr>
      </w:pPr>
      <w:r>
        <w:rPr>
          <w:rFonts w:hint="eastAsia" w:ascii="仿宋" w:hAnsi="仿宋" w:eastAsia="仿宋"/>
        </w:rPr>
        <w:t>（11）</w:t>
      </w:r>
      <w:r>
        <w:rPr>
          <w:rFonts w:ascii="仿宋" w:hAnsi="仿宋" w:eastAsia="仿宋"/>
        </w:rPr>
        <w:t>了解如何使用灭火器。</w:t>
      </w:r>
    </w:p>
    <w:p>
      <w:pPr>
        <w:pStyle w:val="132"/>
        <w:rPr>
          <w:rFonts w:ascii="仿宋" w:hAnsi="仿宋" w:eastAsia="仿宋"/>
        </w:rPr>
      </w:pPr>
      <w:bookmarkStart w:id="294" w:name="_Toc19555"/>
      <w:r>
        <w:rPr>
          <w:rFonts w:ascii="仿宋" w:hAnsi="仿宋" w:eastAsia="仿宋"/>
        </w:rPr>
        <w:t>9.1.2人员培训时间和内容</w:t>
      </w:r>
      <w:bookmarkEnd w:id="294"/>
    </w:p>
    <w:p>
      <w:pPr>
        <w:pStyle w:val="4"/>
        <w:ind w:firstLine="560"/>
        <w:rPr>
          <w:rFonts w:ascii="仿宋" w:hAnsi="仿宋" w:eastAsia="仿宋"/>
        </w:rPr>
      </w:pPr>
      <w:r>
        <w:rPr>
          <w:rFonts w:hint="eastAsia" w:ascii="仿宋" w:hAnsi="仿宋" w:eastAsia="仿宋"/>
        </w:rPr>
        <w:t>（1）</w:t>
      </w:r>
      <w:r>
        <w:rPr>
          <w:rFonts w:ascii="仿宋" w:hAnsi="仿宋" w:eastAsia="仿宋"/>
        </w:rPr>
        <w:t>应急救援人员的培训</w:t>
      </w:r>
    </w:p>
    <w:p>
      <w:pPr>
        <w:pStyle w:val="4"/>
        <w:ind w:firstLine="560"/>
        <w:rPr>
          <w:rFonts w:ascii="仿宋" w:hAnsi="仿宋" w:eastAsia="仿宋"/>
        </w:rPr>
      </w:pPr>
      <w:r>
        <w:rPr>
          <w:rFonts w:ascii="仿宋" w:hAnsi="仿宋" w:eastAsia="仿宋"/>
        </w:rPr>
        <w:t>对应急救援各专业人员的业务培训，由</w:t>
      </w:r>
      <w:r>
        <w:rPr>
          <w:rFonts w:hint="eastAsia" w:ascii="仿宋" w:hAnsi="仿宋" w:eastAsia="仿宋"/>
        </w:rPr>
        <w:t>后勤</w:t>
      </w:r>
      <w:r>
        <w:rPr>
          <w:rFonts w:ascii="仿宋" w:hAnsi="仿宋" w:eastAsia="仿宋"/>
        </w:rPr>
        <w:t>部每年组织一次，人事教育科协助，培训内容：</w:t>
      </w:r>
    </w:p>
    <w:p>
      <w:pPr>
        <w:pStyle w:val="4"/>
        <w:ind w:firstLine="560"/>
        <w:rPr>
          <w:rFonts w:ascii="仿宋" w:hAnsi="仿宋" w:eastAsia="仿宋"/>
        </w:rPr>
      </w:pPr>
      <w:r>
        <w:rPr>
          <w:rFonts w:ascii="仿宋" w:hAnsi="仿宋" w:eastAsia="仿宋"/>
        </w:rPr>
        <w:t>了解掌握事故应急救援预案内容；</w:t>
      </w:r>
    </w:p>
    <w:p>
      <w:pPr>
        <w:pStyle w:val="4"/>
        <w:ind w:firstLine="560"/>
        <w:rPr>
          <w:rFonts w:ascii="仿宋" w:hAnsi="仿宋" w:eastAsia="仿宋"/>
        </w:rPr>
      </w:pPr>
      <w:r>
        <w:rPr>
          <w:rFonts w:ascii="仿宋" w:hAnsi="仿宋" w:eastAsia="仿宋"/>
        </w:rPr>
        <w:t>熟悉使用各类防护器具；</w:t>
      </w:r>
    </w:p>
    <w:p>
      <w:pPr>
        <w:pStyle w:val="4"/>
        <w:ind w:firstLine="560"/>
        <w:rPr>
          <w:rFonts w:ascii="仿宋" w:hAnsi="仿宋" w:eastAsia="仿宋"/>
        </w:rPr>
      </w:pPr>
      <w:r>
        <w:rPr>
          <w:rFonts w:ascii="仿宋" w:hAnsi="仿宋" w:eastAsia="仿宋"/>
        </w:rPr>
        <w:t>如何展开事故现场抢救救援及事故处置；</w:t>
      </w:r>
    </w:p>
    <w:p>
      <w:pPr>
        <w:pStyle w:val="4"/>
        <w:ind w:firstLine="560"/>
        <w:rPr>
          <w:rFonts w:ascii="仿宋" w:hAnsi="仿宋" w:eastAsia="仿宋"/>
        </w:rPr>
      </w:pPr>
      <w:r>
        <w:rPr>
          <w:rFonts w:ascii="仿宋" w:hAnsi="仿宋" w:eastAsia="仿宋"/>
        </w:rPr>
        <w:t>事故现场自我防护及监护措施。</w:t>
      </w:r>
    </w:p>
    <w:p>
      <w:pPr>
        <w:pStyle w:val="4"/>
        <w:ind w:firstLine="560"/>
        <w:rPr>
          <w:rFonts w:ascii="仿宋" w:hAnsi="仿宋" w:eastAsia="仿宋"/>
        </w:rPr>
      </w:pPr>
      <w:r>
        <w:rPr>
          <w:rFonts w:hint="eastAsia" w:ascii="仿宋" w:hAnsi="仿宋" w:eastAsia="仿宋"/>
        </w:rPr>
        <w:t>（2）</w:t>
      </w:r>
      <w:r>
        <w:rPr>
          <w:rFonts w:ascii="仿宋" w:hAnsi="仿宋" w:eastAsia="仿宋"/>
        </w:rPr>
        <w:t>员工应急响应培训</w:t>
      </w:r>
    </w:p>
    <w:p>
      <w:pPr>
        <w:pStyle w:val="4"/>
        <w:ind w:firstLine="560"/>
        <w:rPr>
          <w:rFonts w:ascii="仿宋" w:hAnsi="仿宋" w:eastAsia="仿宋"/>
        </w:rPr>
      </w:pPr>
      <w:r>
        <w:rPr>
          <w:rFonts w:ascii="仿宋" w:hAnsi="仿宋" w:eastAsia="仿宋"/>
        </w:rPr>
        <w:t>员工应急响应的培训，由公司，部门结合每年组织的安全技术的培训考核一并进行，培训内容：</w:t>
      </w:r>
    </w:p>
    <w:p>
      <w:pPr>
        <w:pStyle w:val="4"/>
        <w:ind w:firstLine="560"/>
        <w:rPr>
          <w:rFonts w:ascii="仿宋" w:hAnsi="仿宋" w:eastAsia="仿宋"/>
        </w:rPr>
      </w:pPr>
      <w:r>
        <w:rPr>
          <w:rFonts w:ascii="仿宋" w:hAnsi="仿宋" w:eastAsia="仿宋"/>
        </w:rPr>
        <w:t>企业安全生产规章制度、安全操作规程；</w:t>
      </w:r>
    </w:p>
    <w:p>
      <w:pPr>
        <w:pStyle w:val="4"/>
        <w:ind w:firstLine="560"/>
        <w:rPr>
          <w:rFonts w:ascii="仿宋" w:hAnsi="仿宋" w:eastAsia="仿宋"/>
        </w:rPr>
      </w:pPr>
      <w:r>
        <w:rPr>
          <w:rFonts w:ascii="仿宋" w:hAnsi="仿宋" w:eastAsia="仿宋"/>
        </w:rPr>
        <w:t>防火、防爆、防毒的基本知识；</w:t>
      </w:r>
    </w:p>
    <w:p>
      <w:pPr>
        <w:pStyle w:val="4"/>
        <w:ind w:firstLine="560"/>
        <w:rPr>
          <w:rFonts w:ascii="仿宋" w:hAnsi="仿宋" w:eastAsia="仿宋"/>
        </w:rPr>
      </w:pPr>
      <w:r>
        <w:rPr>
          <w:rFonts w:ascii="仿宋" w:hAnsi="仿宋" w:eastAsia="仿宋"/>
        </w:rPr>
        <w:t>生产过程中异常情况的排除、处理方法；</w:t>
      </w:r>
    </w:p>
    <w:p>
      <w:pPr>
        <w:pStyle w:val="4"/>
        <w:ind w:firstLine="560"/>
        <w:rPr>
          <w:rFonts w:ascii="仿宋" w:hAnsi="仿宋" w:eastAsia="仿宋"/>
        </w:rPr>
      </w:pPr>
      <w:r>
        <w:rPr>
          <w:rFonts w:ascii="仿宋" w:hAnsi="仿宋" w:eastAsia="仿宋"/>
        </w:rPr>
        <w:t>事故发生后如何开展自救和互救；</w:t>
      </w:r>
    </w:p>
    <w:p>
      <w:pPr>
        <w:pStyle w:val="4"/>
        <w:ind w:firstLine="560"/>
        <w:rPr>
          <w:rFonts w:ascii="仿宋" w:hAnsi="仿宋" w:eastAsia="仿宋"/>
        </w:rPr>
      </w:pPr>
      <w:r>
        <w:rPr>
          <w:rFonts w:ascii="仿宋" w:hAnsi="仿宋" w:eastAsia="仿宋"/>
        </w:rPr>
        <w:t>事故发生后的撤离和疏散方法。</w:t>
      </w:r>
    </w:p>
    <w:p>
      <w:pPr>
        <w:pStyle w:val="132"/>
        <w:rPr>
          <w:rFonts w:ascii="仿宋" w:hAnsi="仿宋" w:eastAsia="仿宋"/>
        </w:rPr>
      </w:pPr>
      <w:bookmarkStart w:id="295" w:name="_Toc24055"/>
      <w:r>
        <w:rPr>
          <w:rFonts w:ascii="仿宋" w:hAnsi="仿宋" w:eastAsia="仿宋"/>
        </w:rPr>
        <w:t>9.1.3外部公众教育和信息</w:t>
      </w:r>
      <w:bookmarkEnd w:id="295"/>
    </w:p>
    <w:p>
      <w:pPr>
        <w:pStyle w:val="4"/>
        <w:ind w:firstLine="560"/>
        <w:rPr>
          <w:rFonts w:ascii="仿宋" w:hAnsi="仿宋" w:eastAsia="仿宋"/>
        </w:rPr>
      </w:pPr>
      <w:r>
        <w:rPr>
          <w:rFonts w:ascii="仿宋" w:hAnsi="仿宋" w:eastAsia="仿宋"/>
        </w:rPr>
        <w:t>对工厂邻近地区开展公众教育、培训和发布有关信息，让公众做到心中有数，防患于未然，一旦发生事故，附近的群众能以最快速度撤离出危险区域。</w:t>
      </w:r>
    </w:p>
    <w:p>
      <w:pPr>
        <w:pStyle w:val="4"/>
        <w:ind w:firstLine="560"/>
        <w:rPr>
          <w:rFonts w:ascii="仿宋" w:hAnsi="仿宋" w:eastAsia="仿宋"/>
        </w:rPr>
      </w:pPr>
      <w:r>
        <w:rPr>
          <w:rFonts w:ascii="仿宋" w:hAnsi="仿宋" w:eastAsia="仿宋"/>
        </w:rPr>
        <w:t>本企业的应急预案和地方性总的应急预案相衔接，结合公众所处位置，由政府统一进行公众安全知识教育和信息传递。宣传知识内容主要包括：</w:t>
      </w:r>
    </w:p>
    <w:p>
      <w:pPr>
        <w:pStyle w:val="4"/>
        <w:ind w:firstLine="560"/>
        <w:rPr>
          <w:rFonts w:ascii="仿宋" w:hAnsi="仿宋" w:eastAsia="仿宋"/>
        </w:rPr>
      </w:pPr>
      <w:r>
        <w:rPr>
          <w:rFonts w:hint="eastAsia" w:ascii="仿宋" w:hAnsi="仿宋" w:eastAsia="仿宋"/>
        </w:rPr>
        <w:t>（1）</w:t>
      </w:r>
      <w:r>
        <w:rPr>
          <w:rFonts w:ascii="仿宋" w:hAnsi="仿宋" w:eastAsia="仿宋"/>
        </w:rPr>
        <w:t>项目所涉及到的主要原辅材料的危险特性；</w:t>
      </w:r>
    </w:p>
    <w:p>
      <w:pPr>
        <w:pStyle w:val="4"/>
        <w:ind w:firstLine="560"/>
        <w:rPr>
          <w:rFonts w:ascii="仿宋" w:hAnsi="仿宋" w:eastAsia="仿宋"/>
        </w:rPr>
      </w:pPr>
      <w:r>
        <w:rPr>
          <w:rFonts w:hint="eastAsia" w:ascii="仿宋" w:hAnsi="仿宋" w:eastAsia="仿宋"/>
        </w:rPr>
        <w:t>（2）</w:t>
      </w:r>
      <w:r>
        <w:rPr>
          <w:rFonts w:ascii="仿宋" w:hAnsi="仿宋" w:eastAsia="仿宋"/>
        </w:rPr>
        <w:t>各有毒有害物质的防护方法；</w:t>
      </w:r>
    </w:p>
    <w:p>
      <w:pPr>
        <w:pStyle w:val="4"/>
        <w:ind w:firstLine="560"/>
        <w:rPr>
          <w:rFonts w:ascii="仿宋" w:hAnsi="仿宋" w:eastAsia="仿宋"/>
        </w:rPr>
      </w:pPr>
      <w:r>
        <w:rPr>
          <w:rFonts w:hint="eastAsia" w:ascii="仿宋" w:hAnsi="仿宋" w:eastAsia="仿宋"/>
        </w:rPr>
        <w:t>（3）</w:t>
      </w:r>
      <w:r>
        <w:rPr>
          <w:rFonts w:ascii="仿宋" w:hAnsi="仿宋" w:eastAsia="仿宋"/>
        </w:rPr>
        <w:t>重大事故发生后的撤离和疏散方法。</w:t>
      </w:r>
    </w:p>
    <w:p>
      <w:pPr>
        <w:pStyle w:val="132"/>
        <w:rPr>
          <w:rFonts w:ascii="仿宋" w:hAnsi="仿宋" w:eastAsia="仿宋"/>
        </w:rPr>
      </w:pPr>
      <w:bookmarkStart w:id="296" w:name="_Toc14516"/>
      <w:r>
        <w:rPr>
          <w:rFonts w:ascii="仿宋" w:hAnsi="仿宋" w:eastAsia="仿宋"/>
        </w:rPr>
        <w:t>9.1.4员工培训的记录和考核</w:t>
      </w:r>
      <w:bookmarkEnd w:id="296"/>
    </w:p>
    <w:p>
      <w:pPr>
        <w:pStyle w:val="4"/>
        <w:ind w:firstLine="560"/>
        <w:rPr>
          <w:rFonts w:ascii="仿宋" w:hAnsi="仿宋" w:eastAsia="仿宋"/>
        </w:rPr>
      </w:pPr>
      <w:r>
        <w:rPr>
          <w:rFonts w:ascii="仿宋" w:hAnsi="仿宋" w:eastAsia="仿宋"/>
        </w:rPr>
        <w:t>对每个员工进行安全知识和消防知识教育后，</w:t>
      </w:r>
      <w:r>
        <w:rPr>
          <w:rFonts w:hint="eastAsia" w:ascii="仿宋" w:hAnsi="仿宋" w:eastAsia="仿宋"/>
        </w:rPr>
        <w:t>实习</w:t>
      </w:r>
      <w:r>
        <w:rPr>
          <w:rFonts w:ascii="仿宋" w:hAnsi="仿宋" w:eastAsia="仿宋"/>
        </w:rPr>
        <w:t>操作</w:t>
      </w:r>
      <w:r>
        <w:rPr>
          <w:rFonts w:hint="eastAsia" w:ascii="仿宋" w:hAnsi="仿宋" w:eastAsia="仿宋"/>
        </w:rPr>
        <w:t>，</w:t>
      </w:r>
      <w:r>
        <w:rPr>
          <w:rFonts w:ascii="仿宋" w:hAnsi="仿宋" w:eastAsia="仿宋"/>
        </w:rPr>
        <w:t>熟练后证正式上岗。合格者才能使用，不合格者应继续补习，直到合格为止。</w:t>
      </w:r>
    </w:p>
    <w:p>
      <w:pPr>
        <w:pStyle w:val="3"/>
        <w:rPr>
          <w:rFonts w:ascii="仿宋" w:hAnsi="仿宋" w:eastAsia="仿宋"/>
        </w:rPr>
      </w:pPr>
      <w:bookmarkStart w:id="297" w:name="_Toc12412"/>
      <w:r>
        <w:rPr>
          <w:rFonts w:ascii="仿宋" w:hAnsi="仿宋" w:eastAsia="仿宋"/>
        </w:rPr>
        <w:t>9.2演练</w:t>
      </w:r>
      <w:bookmarkEnd w:id="297"/>
    </w:p>
    <w:p>
      <w:pPr>
        <w:pStyle w:val="4"/>
        <w:ind w:firstLine="560"/>
        <w:rPr>
          <w:rFonts w:ascii="仿宋" w:hAnsi="仿宋" w:eastAsia="仿宋"/>
        </w:rPr>
      </w:pPr>
      <w:r>
        <w:rPr>
          <w:rFonts w:ascii="仿宋" w:hAnsi="仿宋" w:eastAsia="仿宋"/>
        </w:rPr>
        <w:t>制定每年进行安全教育和培训的计划、应急预案演练的计划付于实施，并建立档案。</w:t>
      </w:r>
    </w:p>
    <w:p>
      <w:pPr>
        <w:pStyle w:val="4"/>
        <w:ind w:firstLine="560"/>
        <w:rPr>
          <w:rFonts w:ascii="仿宋" w:hAnsi="仿宋" w:eastAsia="仿宋"/>
        </w:rPr>
      </w:pPr>
      <w:r>
        <w:rPr>
          <w:rFonts w:ascii="仿宋" w:hAnsi="仿宋" w:eastAsia="仿宋"/>
        </w:rPr>
        <w:t>每年的应急预案演练计划分为火灾事故演练计划、毒物泄漏演练计划等。</w:t>
      </w:r>
    </w:p>
    <w:p>
      <w:pPr>
        <w:pStyle w:val="4"/>
        <w:ind w:firstLine="560"/>
        <w:rPr>
          <w:rFonts w:ascii="仿宋" w:hAnsi="仿宋" w:eastAsia="仿宋"/>
        </w:rPr>
      </w:pPr>
      <w:r>
        <w:rPr>
          <w:rFonts w:hint="eastAsia" w:ascii="仿宋" w:hAnsi="仿宋" w:eastAsia="仿宋"/>
        </w:rPr>
        <w:t>（1）</w:t>
      </w:r>
      <w:r>
        <w:rPr>
          <w:rFonts w:ascii="仿宋" w:hAnsi="仿宋" w:eastAsia="仿宋"/>
        </w:rPr>
        <w:t>演练方式分类：</w:t>
      </w:r>
    </w:p>
    <w:p>
      <w:pPr>
        <w:pStyle w:val="4"/>
        <w:ind w:firstLine="560"/>
        <w:rPr>
          <w:rFonts w:ascii="仿宋" w:hAnsi="仿宋" w:eastAsia="仿宋"/>
        </w:rPr>
      </w:pPr>
      <w:r>
        <w:rPr>
          <w:rFonts w:hint="eastAsia" w:ascii="仿宋" w:hAnsi="仿宋" w:eastAsia="仿宋" w:cs="宋体"/>
        </w:rPr>
        <w:t>①</w:t>
      </w:r>
      <w:r>
        <w:rPr>
          <w:rFonts w:ascii="仿宋" w:hAnsi="仿宋" w:eastAsia="仿宋"/>
        </w:rPr>
        <w:t>组织指挥演练：由指挥部的领导和各专业队负责人分别按应急救援预案要求，以组织指挥的形式组织实施应急救援任务的演练。</w:t>
      </w:r>
    </w:p>
    <w:p>
      <w:pPr>
        <w:pStyle w:val="4"/>
        <w:ind w:firstLine="560"/>
        <w:rPr>
          <w:rFonts w:ascii="仿宋" w:hAnsi="仿宋" w:eastAsia="仿宋"/>
        </w:rPr>
      </w:pPr>
      <w:r>
        <w:rPr>
          <w:rFonts w:hint="eastAsia" w:ascii="仿宋" w:hAnsi="仿宋" w:eastAsia="仿宋" w:cs="宋体"/>
        </w:rPr>
        <w:t>②</w:t>
      </w:r>
      <w:r>
        <w:rPr>
          <w:rFonts w:ascii="仿宋" w:hAnsi="仿宋" w:eastAsia="仿宋"/>
        </w:rPr>
        <w:t>单项演练：由各专业队各自开展的应急救援任务中的单项科目的演练。</w:t>
      </w:r>
    </w:p>
    <w:p>
      <w:pPr>
        <w:pStyle w:val="4"/>
        <w:ind w:firstLine="560"/>
        <w:rPr>
          <w:rFonts w:ascii="仿宋" w:hAnsi="仿宋" w:eastAsia="仿宋"/>
        </w:rPr>
      </w:pPr>
      <w:r>
        <w:rPr>
          <w:rFonts w:hint="eastAsia" w:ascii="仿宋" w:hAnsi="仿宋" w:eastAsia="仿宋"/>
        </w:rPr>
        <w:t>（2）</w:t>
      </w:r>
      <w:r>
        <w:rPr>
          <w:rFonts w:ascii="仿宋" w:hAnsi="仿宋" w:eastAsia="仿宋"/>
        </w:rPr>
        <w:t>演练内容：</w:t>
      </w:r>
    </w:p>
    <w:p>
      <w:pPr>
        <w:pStyle w:val="4"/>
        <w:ind w:firstLine="560"/>
        <w:rPr>
          <w:rFonts w:ascii="仿宋" w:hAnsi="仿宋" w:eastAsia="仿宋"/>
        </w:rPr>
      </w:pPr>
      <w:r>
        <w:rPr>
          <w:rFonts w:hint="eastAsia" w:ascii="仿宋" w:hAnsi="仿宋" w:eastAsia="仿宋" w:cs="宋体"/>
        </w:rPr>
        <w:t>①</w:t>
      </w:r>
      <w:r>
        <w:rPr>
          <w:rFonts w:ascii="仿宋" w:hAnsi="仿宋" w:eastAsia="仿宋"/>
        </w:rPr>
        <w:t>装置、设备泄漏的应急处置抢险；</w:t>
      </w:r>
    </w:p>
    <w:p>
      <w:pPr>
        <w:pStyle w:val="4"/>
        <w:ind w:firstLine="560"/>
        <w:rPr>
          <w:rFonts w:ascii="仿宋" w:hAnsi="仿宋" w:eastAsia="仿宋"/>
        </w:rPr>
      </w:pPr>
      <w:r>
        <w:rPr>
          <w:rFonts w:hint="eastAsia" w:ascii="仿宋" w:hAnsi="仿宋" w:eastAsia="仿宋" w:cs="宋体"/>
        </w:rPr>
        <w:t>②</w:t>
      </w:r>
      <w:r>
        <w:rPr>
          <w:rFonts w:ascii="仿宋" w:hAnsi="仿宋" w:eastAsia="仿宋"/>
        </w:rPr>
        <w:t>通信及报警信号的联络；</w:t>
      </w:r>
    </w:p>
    <w:p>
      <w:pPr>
        <w:pStyle w:val="4"/>
        <w:ind w:firstLine="560"/>
        <w:rPr>
          <w:rFonts w:ascii="仿宋" w:hAnsi="仿宋" w:eastAsia="仿宋"/>
        </w:rPr>
      </w:pPr>
      <w:r>
        <w:rPr>
          <w:rFonts w:hint="eastAsia" w:ascii="仿宋" w:hAnsi="仿宋" w:eastAsia="仿宋" w:cs="宋体"/>
        </w:rPr>
        <w:t>③</w:t>
      </w:r>
      <w:r>
        <w:rPr>
          <w:rFonts w:ascii="仿宋" w:hAnsi="仿宋" w:eastAsia="仿宋"/>
        </w:rPr>
        <w:t>急救及医疗；</w:t>
      </w:r>
    </w:p>
    <w:p>
      <w:pPr>
        <w:pStyle w:val="4"/>
        <w:ind w:firstLine="560"/>
        <w:rPr>
          <w:rFonts w:ascii="仿宋" w:hAnsi="仿宋" w:eastAsia="仿宋"/>
        </w:rPr>
      </w:pPr>
      <w:r>
        <w:rPr>
          <w:rFonts w:hint="eastAsia" w:ascii="仿宋" w:hAnsi="仿宋" w:eastAsia="仿宋" w:cs="宋体"/>
        </w:rPr>
        <w:t>④</w:t>
      </w:r>
      <w:r>
        <w:rPr>
          <w:rFonts w:ascii="仿宋" w:hAnsi="仿宋" w:eastAsia="仿宋"/>
        </w:rPr>
        <w:t>消毒及洗消处理；</w:t>
      </w:r>
    </w:p>
    <w:p>
      <w:pPr>
        <w:pStyle w:val="4"/>
        <w:ind w:firstLine="560"/>
        <w:rPr>
          <w:rFonts w:ascii="仿宋" w:hAnsi="仿宋" w:eastAsia="仿宋"/>
        </w:rPr>
      </w:pPr>
      <w:r>
        <w:rPr>
          <w:rFonts w:hint="eastAsia" w:ascii="仿宋" w:hAnsi="仿宋" w:eastAsia="仿宋" w:cs="宋体"/>
        </w:rPr>
        <w:t>⑤</w:t>
      </w:r>
      <w:r>
        <w:rPr>
          <w:rFonts w:ascii="仿宋" w:hAnsi="仿宋" w:eastAsia="仿宋"/>
        </w:rPr>
        <w:t>防护指导，包括专业人员的个人防护及员工的自我防护；</w:t>
      </w:r>
    </w:p>
    <w:p>
      <w:pPr>
        <w:pStyle w:val="4"/>
        <w:ind w:firstLine="560"/>
        <w:rPr>
          <w:rFonts w:ascii="仿宋" w:hAnsi="仿宋" w:eastAsia="仿宋"/>
        </w:rPr>
      </w:pPr>
      <w:r>
        <w:rPr>
          <w:rFonts w:hint="eastAsia" w:ascii="仿宋" w:hAnsi="仿宋" w:eastAsia="仿宋" w:cs="宋体"/>
        </w:rPr>
        <w:t>⑥</w:t>
      </w:r>
      <w:r>
        <w:rPr>
          <w:rFonts w:ascii="仿宋" w:hAnsi="仿宋" w:eastAsia="仿宋"/>
        </w:rPr>
        <w:t>各种标志、设置警戒范围及人员控制；</w:t>
      </w:r>
    </w:p>
    <w:p>
      <w:pPr>
        <w:pStyle w:val="4"/>
        <w:ind w:firstLine="560"/>
        <w:rPr>
          <w:rFonts w:ascii="仿宋" w:hAnsi="仿宋" w:eastAsia="仿宋"/>
        </w:rPr>
      </w:pPr>
      <w:r>
        <w:rPr>
          <w:rFonts w:hint="eastAsia" w:ascii="仿宋" w:hAnsi="仿宋" w:eastAsia="仿宋" w:cs="宋体"/>
        </w:rPr>
        <w:t>⑦</w:t>
      </w:r>
      <w:r>
        <w:rPr>
          <w:rFonts w:ascii="仿宋" w:hAnsi="仿宋" w:eastAsia="仿宋"/>
        </w:rPr>
        <w:t>厂内交通控制及管理</w:t>
      </w:r>
      <w:r>
        <w:rPr>
          <w:rFonts w:hint="eastAsia" w:ascii="仿宋" w:hAnsi="仿宋" w:eastAsia="仿宋"/>
        </w:rPr>
        <w:t>；</w:t>
      </w:r>
    </w:p>
    <w:p>
      <w:pPr>
        <w:pStyle w:val="4"/>
        <w:ind w:firstLine="560"/>
        <w:rPr>
          <w:rFonts w:ascii="仿宋" w:hAnsi="仿宋" w:eastAsia="仿宋"/>
        </w:rPr>
      </w:pPr>
      <w:r>
        <w:rPr>
          <w:rFonts w:hint="eastAsia" w:ascii="仿宋" w:hAnsi="仿宋" w:eastAsia="仿宋" w:cs="宋体"/>
        </w:rPr>
        <w:t>⑧</w:t>
      </w:r>
      <w:r>
        <w:rPr>
          <w:rFonts w:ascii="仿宋" w:hAnsi="仿宋" w:eastAsia="仿宋"/>
        </w:rPr>
        <w:t>泄漏污染区域内人员的疏散撤离及人员清查；</w:t>
      </w:r>
    </w:p>
    <w:p>
      <w:pPr>
        <w:pStyle w:val="4"/>
        <w:ind w:firstLine="560"/>
        <w:rPr>
          <w:rFonts w:ascii="仿宋" w:hAnsi="仿宋" w:eastAsia="仿宋"/>
        </w:rPr>
      </w:pPr>
      <w:r>
        <w:rPr>
          <w:rFonts w:hint="eastAsia" w:ascii="仿宋" w:hAnsi="仿宋" w:eastAsia="仿宋" w:cs="宋体"/>
        </w:rPr>
        <w:t>⑨</w:t>
      </w:r>
      <w:r>
        <w:rPr>
          <w:rFonts w:ascii="仿宋" w:hAnsi="仿宋" w:eastAsia="仿宋"/>
        </w:rPr>
        <w:t>向上级报告情况及向友邻单位通报情况、事故的善后工作。</w:t>
      </w:r>
    </w:p>
    <w:p>
      <w:pPr>
        <w:pStyle w:val="4"/>
        <w:ind w:firstLine="560"/>
        <w:rPr>
          <w:rFonts w:ascii="仿宋" w:hAnsi="仿宋" w:eastAsia="仿宋"/>
        </w:rPr>
      </w:pPr>
      <w:r>
        <w:rPr>
          <w:rFonts w:hint="eastAsia" w:ascii="仿宋" w:hAnsi="仿宋" w:eastAsia="仿宋"/>
        </w:rPr>
        <w:t>（3）</w:t>
      </w:r>
      <w:r>
        <w:rPr>
          <w:rFonts w:ascii="仿宋" w:hAnsi="仿宋" w:eastAsia="仿宋"/>
        </w:rPr>
        <w:t>演练范围与频次：</w:t>
      </w:r>
    </w:p>
    <w:p>
      <w:pPr>
        <w:pStyle w:val="4"/>
        <w:ind w:firstLine="560"/>
        <w:rPr>
          <w:rFonts w:ascii="仿宋" w:hAnsi="仿宋" w:eastAsia="仿宋"/>
        </w:rPr>
      </w:pPr>
      <w:r>
        <w:rPr>
          <w:rFonts w:hint="eastAsia" w:ascii="仿宋" w:hAnsi="仿宋" w:eastAsia="仿宋" w:cs="宋体"/>
        </w:rPr>
        <w:t>①</w:t>
      </w:r>
      <w:r>
        <w:rPr>
          <w:rFonts w:ascii="仿宋" w:hAnsi="仿宋" w:eastAsia="仿宋"/>
        </w:rPr>
        <w:t>组织指挥演练由指挥领导小组副组长每年组织一次；</w:t>
      </w:r>
    </w:p>
    <w:p>
      <w:pPr>
        <w:pStyle w:val="4"/>
        <w:ind w:firstLine="560"/>
        <w:rPr>
          <w:rFonts w:ascii="仿宋" w:hAnsi="仿宋" w:eastAsia="仿宋"/>
        </w:rPr>
      </w:pPr>
      <w:r>
        <w:rPr>
          <w:rFonts w:hint="eastAsia" w:ascii="仿宋" w:hAnsi="仿宋" w:eastAsia="仿宋" w:cs="宋体"/>
        </w:rPr>
        <w:t>②</w:t>
      </w:r>
      <w:r>
        <w:rPr>
          <w:rFonts w:ascii="仿宋" w:hAnsi="仿宋" w:eastAsia="仿宋"/>
        </w:rPr>
        <w:t>单项演练由安全环境部组织每半年组织一次</w:t>
      </w:r>
      <w:r>
        <w:rPr>
          <w:rFonts w:hint="eastAsia" w:ascii="仿宋" w:hAnsi="仿宋" w:eastAsia="仿宋"/>
        </w:rPr>
        <w:t>。</w:t>
      </w:r>
    </w:p>
    <w:p>
      <w:pPr>
        <w:pStyle w:val="4"/>
        <w:ind w:firstLine="560"/>
        <w:rPr>
          <w:rFonts w:ascii="仿宋" w:hAnsi="仿宋" w:eastAsia="仿宋"/>
        </w:rPr>
      </w:pPr>
      <w:r>
        <w:rPr>
          <w:rFonts w:hint="eastAsia" w:ascii="仿宋" w:hAnsi="仿宋" w:eastAsia="仿宋"/>
        </w:rPr>
        <w:t>（4）</w:t>
      </w:r>
      <w:r>
        <w:rPr>
          <w:rFonts w:ascii="仿宋" w:hAnsi="仿宋" w:eastAsia="仿宋"/>
        </w:rPr>
        <w:t>演练的评价、总结与追踪</w:t>
      </w:r>
    </w:p>
    <w:p>
      <w:pPr>
        <w:pStyle w:val="4"/>
        <w:ind w:firstLine="560"/>
        <w:rPr>
          <w:rFonts w:ascii="仿宋" w:hAnsi="仿宋" w:eastAsia="仿宋"/>
        </w:rPr>
      </w:pPr>
      <w:r>
        <w:rPr>
          <w:rFonts w:ascii="仿宋" w:hAnsi="仿宋" w:eastAsia="仿宋"/>
        </w:rPr>
        <w:t>每次应急演练后及时进行评价与总结，检验制定的应急预案的有效性应急准备的完善性、应急响应能力的适应性和应急人员的协同性。经完善总结实现应急预案的持续改进。演练应进行相关的视频记录</w:t>
      </w:r>
      <w:r>
        <w:rPr>
          <w:rFonts w:hint="eastAsia" w:ascii="仿宋" w:hAnsi="仿宋" w:eastAsia="仿宋"/>
        </w:rPr>
        <w:t>、</w:t>
      </w:r>
      <w:r>
        <w:rPr>
          <w:rFonts w:ascii="仿宋" w:hAnsi="仿宋" w:eastAsia="仿宋"/>
        </w:rPr>
        <w:t>整理演练资料</w:t>
      </w:r>
      <w:r>
        <w:rPr>
          <w:rFonts w:hint="eastAsia" w:ascii="仿宋" w:hAnsi="仿宋" w:eastAsia="仿宋"/>
        </w:rPr>
        <w:t>、</w:t>
      </w:r>
      <w:r>
        <w:rPr>
          <w:rFonts w:ascii="仿宋" w:hAnsi="仿宋" w:eastAsia="仿宋"/>
        </w:rPr>
        <w:t>记录好每次演练的台账</w:t>
      </w:r>
      <w:r>
        <w:rPr>
          <w:rFonts w:hint="eastAsia" w:ascii="仿宋" w:hAnsi="仿宋" w:eastAsia="仿宋"/>
        </w:rPr>
        <w:t>。</w:t>
      </w:r>
    </w:p>
    <w:p>
      <w:pPr>
        <w:pStyle w:val="4"/>
        <w:ind w:firstLine="560"/>
        <w:rPr>
          <w:rFonts w:ascii="仿宋" w:hAnsi="仿宋" w:eastAsia="仿宋"/>
          <w:color w:val="FF0000"/>
        </w:rPr>
      </w:pPr>
    </w:p>
    <w:p>
      <w:pPr>
        <w:pStyle w:val="4"/>
        <w:ind w:firstLine="560"/>
        <w:rPr>
          <w:rFonts w:ascii="仿宋" w:hAnsi="仿宋" w:eastAsia="仿宋"/>
          <w:color w:val="FF0000"/>
        </w:rPr>
      </w:pPr>
    </w:p>
    <w:p>
      <w:pPr>
        <w:pStyle w:val="2"/>
        <w:rPr>
          <w:rFonts w:ascii="仿宋" w:hAnsi="仿宋" w:eastAsia="仿宋"/>
        </w:rPr>
      </w:pPr>
      <w:bookmarkStart w:id="298" w:name="_Toc19927"/>
      <w:r>
        <w:rPr>
          <w:rFonts w:ascii="仿宋" w:hAnsi="仿宋" w:eastAsia="仿宋"/>
        </w:rPr>
        <w:t>10奖惩</w:t>
      </w:r>
      <w:bookmarkEnd w:id="298"/>
    </w:p>
    <w:p>
      <w:pPr>
        <w:pStyle w:val="4"/>
        <w:ind w:firstLine="560"/>
        <w:rPr>
          <w:rFonts w:ascii="仿宋" w:hAnsi="仿宋" w:eastAsia="仿宋"/>
        </w:rPr>
      </w:pPr>
      <w:r>
        <w:rPr>
          <w:rFonts w:ascii="仿宋" w:hAnsi="仿宋" w:eastAsia="仿宋"/>
        </w:rPr>
        <w:t>1、实施目的</w:t>
      </w:r>
    </w:p>
    <w:p>
      <w:pPr>
        <w:pStyle w:val="4"/>
        <w:ind w:firstLine="560"/>
        <w:rPr>
          <w:rFonts w:ascii="仿宋" w:hAnsi="仿宋" w:eastAsia="仿宋"/>
        </w:rPr>
      </w:pPr>
      <w:r>
        <w:rPr>
          <w:rFonts w:ascii="仿宋" w:hAnsi="仿宋" w:eastAsia="仿宋"/>
        </w:rPr>
        <w:t>为加强公司员工积极投身、参与突发环境事件应急救援工作的主动性、自觉性，规范救援行为，提高应急救援能力，保障应急救援预案的贯彻执行，制定了如下奖惩计划。</w:t>
      </w:r>
    </w:p>
    <w:p>
      <w:pPr>
        <w:pStyle w:val="4"/>
        <w:ind w:firstLine="560"/>
        <w:rPr>
          <w:rFonts w:ascii="仿宋" w:hAnsi="仿宋" w:eastAsia="仿宋"/>
        </w:rPr>
      </w:pPr>
      <w:r>
        <w:rPr>
          <w:rFonts w:ascii="仿宋" w:hAnsi="仿宋" w:eastAsia="仿宋"/>
        </w:rPr>
        <w:t>2、适用范围</w:t>
      </w:r>
    </w:p>
    <w:p>
      <w:pPr>
        <w:pStyle w:val="4"/>
        <w:ind w:firstLine="560"/>
        <w:rPr>
          <w:rFonts w:ascii="仿宋" w:hAnsi="仿宋" w:eastAsia="仿宋"/>
        </w:rPr>
      </w:pPr>
      <w:r>
        <w:rPr>
          <w:rFonts w:ascii="仿宋" w:hAnsi="仿宋" w:eastAsia="仿宋"/>
        </w:rPr>
        <w:t>奖惩制度适用于公司内全体员工。</w:t>
      </w:r>
    </w:p>
    <w:p>
      <w:pPr>
        <w:pStyle w:val="4"/>
        <w:ind w:firstLine="560"/>
        <w:rPr>
          <w:rFonts w:ascii="仿宋" w:hAnsi="仿宋" w:eastAsia="仿宋"/>
        </w:rPr>
      </w:pPr>
      <w:r>
        <w:rPr>
          <w:rFonts w:ascii="仿宋" w:hAnsi="仿宋" w:eastAsia="仿宋"/>
        </w:rPr>
        <w:t>3、奖惩标准</w:t>
      </w:r>
    </w:p>
    <w:p>
      <w:pPr>
        <w:pStyle w:val="4"/>
        <w:ind w:firstLine="560"/>
        <w:rPr>
          <w:rFonts w:ascii="仿宋" w:hAnsi="仿宋" w:eastAsia="仿宋"/>
        </w:rPr>
      </w:pPr>
      <w:r>
        <w:rPr>
          <w:rFonts w:ascii="仿宋" w:hAnsi="仿宋" w:eastAsia="仿宋"/>
        </w:rPr>
        <w:t>奖励分为：通报表扬、奖金加薪；</w:t>
      </w:r>
    </w:p>
    <w:p>
      <w:pPr>
        <w:pStyle w:val="4"/>
        <w:ind w:firstLine="560"/>
        <w:rPr>
          <w:rFonts w:ascii="仿宋" w:hAnsi="仿宋" w:eastAsia="仿宋"/>
        </w:rPr>
      </w:pPr>
      <w:r>
        <w:rPr>
          <w:rFonts w:ascii="仿宋" w:hAnsi="仿宋" w:eastAsia="仿宋"/>
        </w:rPr>
        <w:t>处罚分为：批评</w:t>
      </w:r>
      <w:r>
        <w:rPr>
          <w:rFonts w:hint="eastAsia" w:ascii="仿宋" w:hAnsi="仿宋" w:eastAsia="仿宋"/>
        </w:rPr>
        <w:t>、</w:t>
      </w:r>
      <w:r>
        <w:rPr>
          <w:rFonts w:ascii="仿宋" w:hAnsi="仿宋" w:eastAsia="仿宋"/>
        </w:rPr>
        <w:t>警告、记过、开除。</w:t>
      </w:r>
    </w:p>
    <w:p>
      <w:pPr>
        <w:pStyle w:val="4"/>
        <w:ind w:firstLine="560"/>
        <w:rPr>
          <w:rFonts w:ascii="仿宋" w:hAnsi="仿宋" w:eastAsia="仿宋"/>
        </w:rPr>
      </w:pPr>
      <w:r>
        <w:rPr>
          <w:rFonts w:ascii="仿宋" w:hAnsi="仿宋" w:eastAsia="仿宋"/>
        </w:rPr>
        <w:t>4、奖惩内容</w:t>
      </w:r>
    </w:p>
    <w:p>
      <w:pPr>
        <w:pStyle w:val="4"/>
        <w:ind w:firstLine="560"/>
        <w:rPr>
          <w:rFonts w:ascii="仿宋" w:hAnsi="仿宋" w:eastAsia="仿宋"/>
        </w:rPr>
      </w:pPr>
      <w:r>
        <w:rPr>
          <w:rFonts w:ascii="仿宋" w:hAnsi="仿宋" w:eastAsia="仿宋"/>
        </w:rPr>
        <w:t>公司指定的应急救援行为奖惩内容见下表。</w:t>
      </w:r>
    </w:p>
    <w:p>
      <w:pPr>
        <w:tabs>
          <w:tab w:val="left" w:pos="1800"/>
        </w:tabs>
        <w:spacing w:line="500" w:lineRule="exact"/>
        <w:ind w:left="280" w:right="280" w:firstLine="482"/>
        <w:jc w:val="center"/>
        <w:rPr>
          <w:rFonts w:ascii="仿宋" w:hAnsi="仿宋" w:eastAsia="仿宋"/>
          <w:b/>
          <w:sz w:val="24"/>
        </w:rPr>
      </w:pPr>
      <w:r>
        <w:rPr>
          <w:rFonts w:ascii="仿宋" w:hAnsi="仿宋" w:eastAsia="仿宋"/>
          <w:b/>
          <w:sz w:val="24"/>
        </w:rPr>
        <w:t>公司应急救援行为奖惩内容表</w:t>
      </w:r>
    </w:p>
    <w:tbl>
      <w:tblPr>
        <w:tblStyle w:val="39"/>
        <w:tblW w:w="920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4"/>
        <w:gridCol w:w="5033"/>
        <w:gridCol w:w="2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2" w:hRule="atLeast"/>
          <w:jc w:val="center"/>
        </w:trPr>
        <w:tc>
          <w:tcPr>
            <w:tcW w:w="9203" w:type="dxa"/>
            <w:gridSpan w:val="3"/>
            <w:shd w:val="clear" w:color="auto" w:fill="auto"/>
            <w:vAlign w:val="center"/>
          </w:tcPr>
          <w:p>
            <w:pPr>
              <w:ind w:left="0" w:leftChars="0" w:right="0" w:rightChars="0" w:firstLine="0" w:firstLineChars="0"/>
              <w:jc w:val="center"/>
              <w:rPr>
                <w:rFonts w:ascii="仿宋" w:hAnsi="仿宋" w:eastAsia="仿宋"/>
                <w:b/>
                <w:sz w:val="21"/>
                <w:szCs w:val="21"/>
              </w:rPr>
            </w:pPr>
            <w:r>
              <w:rPr>
                <w:rFonts w:ascii="仿宋" w:hAnsi="仿宋" w:eastAsia="仿宋"/>
                <w:b/>
                <w:sz w:val="21"/>
                <w:szCs w:val="21"/>
              </w:rPr>
              <w:t>奖励内容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奖级</w:t>
            </w:r>
          </w:p>
        </w:tc>
        <w:tc>
          <w:tcPr>
            <w:tcW w:w="5033"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奖励事项</w:t>
            </w:r>
          </w:p>
        </w:tc>
        <w:tc>
          <w:tcPr>
            <w:tcW w:w="2686" w:type="dxa"/>
            <w:shd w:val="clear" w:color="auto" w:fill="auto"/>
            <w:vAlign w:val="center"/>
          </w:tcPr>
          <w:p>
            <w:pPr>
              <w:ind w:left="0" w:leftChars="0" w:right="0" w:rightChars="0" w:firstLine="0" w:firstLineChars="0"/>
              <w:jc w:val="center"/>
              <w:rPr>
                <w:rFonts w:ascii="仿宋" w:hAnsi="仿宋" w:eastAsia="仿宋"/>
                <w:iCs/>
                <w:sz w:val="21"/>
                <w:szCs w:val="21"/>
              </w:rPr>
            </w:pPr>
            <w:r>
              <w:rPr>
                <w:rFonts w:ascii="仿宋" w:hAnsi="仿宋" w:eastAsia="仿宋"/>
                <w:iCs/>
                <w:sz w:val="21"/>
                <w:szCs w:val="21"/>
              </w:rPr>
              <w:t>奖励措施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表扬</w:t>
            </w:r>
          </w:p>
        </w:tc>
        <w:tc>
          <w:tcPr>
            <w:tcW w:w="5033" w:type="dxa"/>
            <w:shd w:val="clear" w:color="auto" w:fill="auto"/>
            <w:vAlign w:val="center"/>
          </w:tcPr>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①</w:t>
            </w:r>
            <w:r>
              <w:rPr>
                <w:rFonts w:ascii="仿宋" w:hAnsi="仿宋" w:eastAsia="仿宋"/>
                <w:sz w:val="21"/>
                <w:szCs w:val="21"/>
              </w:rPr>
              <w:t>救援活动中见义勇为者；</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②</w:t>
            </w:r>
            <w:r>
              <w:rPr>
                <w:rFonts w:ascii="仿宋" w:hAnsi="仿宋" w:eastAsia="仿宋"/>
                <w:sz w:val="21"/>
                <w:szCs w:val="21"/>
              </w:rPr>
              <w:t>对违纪现象勇于制止的；</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③</w:t>
            </w:r>
            <w:r>
              <w:rPr>
                <w:rFonts w:ascii="仿宋" w:hAnsi="仿宋" w:eastAsia="仿宋"/>
                <w:sz w:val="21"/>
                <w:szCs w:val="21"/>
              </w:rPr>
              <w:t>领导有方，带领应急成员实施有效救援的；</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④</w:t>
            </w:r>
            <w:r>
              <w:rPr>
                <w:rFonts w:ascii="仿宋" w:hAnsi="仿宋" w:eastAsia="仿宋"/>
                <w:sz w:val="21"/>
                <w:szCs w:val="21"/>
              </w:rPr>
              <w:t>能适时完成应急指挥部部署的救援任务的。</w:t>
            </w:r>
          </w:p>
        </w:tc>
        <w:tc>
          <w:tcPr>
            <w:tcW w:w="2686" w:type="dxa"/>
            <w:shd w:val="clear" w:color="auto" w:fill="auto"/>
            <w:vAlign w:val="center"/>
          </w:tcPr>
          <w:p>
            <w:pPr>
              <w:ind w:left="0" w:leftChars="0" w:right="0" w:rightChars="0" w:firstLine="0" w:firstLineChars="0"/>
              <w:rPr>
                <w:rFonts w:ascii="仿宋" w:hAnsi="仿宋" w:eastAsia="仿宋"/>
                <w:iCs/>
                <w:sz w:val="21"/>
                <w:szCs w:val="21"/>
              </w:rPr>
            </w:pPr>
            <w:r>
              <w:rPr>
                <w:rFonts w:ascii="仿宋" w:hAnsi="仿宋" w:eastAsia="仿宋"/>
                <w:iCs/>
                <w:sz w:val="21"/>
                <w:szCs w:val="21"/>
              </w:rPr>
              <w:t>在全公司予以公开表扬，直接进入年度优秀员工评比。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2"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奖金加薪</w:t>
            </w:r>
          </w:p>
        </w:tc>
        <w:tc>
          <w:tcPr>
            <w:tcW w:w="5033" w:type="dxa"/>
            <w:shd w:val="clear" w:color="auto" w:fill="auto"/>
            <w:vAlign w:val="center"/>
          </w:tcPr>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①</w:t>
            </w:r>
            <w:r>
              <w:rPr>
                <w:rFonts w:ascii="仿宋" w:hAnsi="仿宋" w:eastAsia="仿宋"/>
                <w:sz w:val="21"/>
                <w:szCs w:val="21"/>
              </w:rPr>
              <w:t>救援活动中为公司挽回重大损失的；</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②</w:t>
            </w:r>
            <w:r>
              <w:rPr>
                <w:rFonts w:ascii="仿宋" w:hAnsi="仿宋" w:eastAsia="仿宋"/>
                <w:sz w:val="21"/>
                <w:szCs w:val="21"/>
              </w:rPr>
              <w:t>对防范公司风险提出切实可行措施的；</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③</w:t>
            </w:r>
            <w:r>
              <w:rPr>
                <w:rFonts w:ascii="仿宋" w:hAnsi="仿宋" w:eastAsia="仿宋"/>
                <w:sz w:val="21"/>
                <w:szCs w:val="21"/>
              </w:rPr>
              <w:t>针对目前应急预案提出积极改进措施，实施及时更新的。</w:t>
            </w:r>
          </w:p>
        </w:tc>
        <w:tc>
          <w:tcPr>
            <w:tcW w:w="2686" w:type="dxa"/>
            <w:shd w:val="clear" w:color="auto" w:fill="auto"/>
            <w:vAlign w:val="center"/>
          </w:tcPr>
          <w:p>
            <w:pPr>
              <w:ind w:left="0" w:leftChars="0" w:right="0" w:rightChars="0" w:firstLine="0" w:firstLineChars="0"/>
              <w:rPr>
                <w:rFonts w:ascii="仿宋" w:hAnsi="仿宋" w:eastAsia="仿宋"/>
                <w:iCs/>
                <w:sz w:val="21"/>
                <w:szCs w:val="21"/>
              </w:rPr>
            </w:pPr>
            <w:r>
              <w:rPr>
                <w:rFonts w:ascii="仿宋" w:hAnsi="仿宋" w:eastAsia="仿宋"/>
                <w:iCs/>
                <w:sz w:val="21"/>
                <w:szCs w:val="21"/>
              </w:rPr>
              <w:t>按照100～2000元颁发奖金，并加薪100～1000元/月。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jc w:val="center"/>
        </w:trPr>
        <w:tc>
          <w:tcPr>
            <w:tcW w:w="9203" w:type="dxa"/>
            <w:gridSpan w:val="3"/>
            <w:shd w:val="clear" w:color="auto" w:fill="auto"/>
            <w:vAlign w:val="center"/>
          </w:tcPr>
          <w:p>
            <w:pPr>
              <w:ind w:left="0" w:leftChars="0" w:right="0" w:rightChars="0" w:firstLine="0" w:firstLineChars="0"/>
              <w:jc w:val="center"/>
              <w:rPr>
                <w:rFonts w:ascii="仿宋" w:hAnsi="仿宋" w:eastAsia="仿宋"/>
                <w:b/>
                <w:sz w:val="21"/>
                <w:szCs w:val="21"/>
              </w:rPr>
            </w:pPr>
            <w:r>
              <w:rPr>
                <w:rFonts w:ascii="仿宋" w:hAnsi="仿宋" w:eastAsia="仿宋"/>
                <w:b/>
                <w:sz w:val="21"/>
                <w:szCs w:val="21"/>
              </w:rPr>
              <w:t>处罚内容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92"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罚级</w:t>
            </w:r>
          </w:p>
        </w:tc>
        <w:tc>
          <w:tcPr>
            <w:tcW w:w="5033"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处罚事项</w:t>
            </w:r>
          </w:p>
        </w:tc>
        <w:tc>
          <w:tcPr>
            <w:tcW w:w="2686" w:type="dxa"/>
            <w:shd w:val="clear" w:color="auto" w:fill="auto"/>
            <w:vAlign w:val="center"/>
          </w:tcPr>
          <w:p>
            <w:pPr>
              <w:ind w:left="0" w:leftChars="0" w:right="0" w:rightChars="0" w:firstLine="0" w:firstLineChars="0"/>
              <w:jc w:val="center"/>
              <w:rPr>
                <w:rFonts w:ascii="仿宋" w:hAnsi="仿宋" w:eastAsia="仿宋"/>
                <w:iCs/>
                <w:sz w:val="21"/>
                <w:szCs w:val="21"/>
              </w:rPr>
            </w:pPr>
            <w:r>
              <w:rPr>
                <w:rFonts w:ascii="仿宋" w:hAnsi="仿宋" w:eastAsia="仿宋"/>
                <w:iCs/>
                <w:sz w:val="21"/>
                <w:szCs w:val="21"/>
              </w:rPr>
              <w:t>处罚措施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2"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批评</w:t>
            </w:r>
          </w:p>
        </w:tc>
        <w:tc>
          <w:tcPr>
            <w:tcW w:w="5033" w:type="dxa"/>
            <w:shd w:val="clear" w:color="auto" w:fill="auto"/>
            <w:vAlign w:val="center"/>
          </w:tcPr>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①</w:t>
            </w:r>
            <w:r>
              <w:rPr>
                <w:rFonts w:ascii="仿宋" w:hAnsi="仿宋" w:eastAsia="仿宋"/>
                <w:sz w:val="21"/>
                <w:szCs w:val="21"/>
              </w:rPr>
              <w:t>应急岗位人员不按公司规定穿着专门服装，不携带公司配备的专门防护用具者；</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②</w:t>
            </w:r>
            <w:r>
              <w:rPr>
                <w:rFonts w:ascii="仿宋" w:hAnsi="仿宋" w:eastAsia="仿宋"/>
                <w:sz w:val="21"/>
                <w:szCs w:val="21"/>
              </w:rPr>
              <w:t>平时工作懒散，经常迟到早退。</w:t>
            </w:r>
          </w:p>
        </w:tc>
        <w:tc>
          <w:tcPr>
            <w:tcW w:w="2686" w:type="dxa"/>
            <w:shd w:val="clear" w:color="auto" w:fill="auto"/>
            <w:vAlign w:val="center"/>
          </w:tcPr>
          <w:p>
            <w:pPr>
              <w:ind w:left="0" w:leftChars="0" w:right="0" w:rightChars="0" w:firstLine="0" w:firstLineChars="0"/>
              <w:rPr>
                <w:rFonts w:ascii="仿宋" w:hAnsi="仿宋" w:eastAsia="仿宋"/>
                <w:iCs/>
                <w:sz w:val="21"/>
                <w:szCs w:val="21"/>
              </w:rPr>
            </w:pPr>
            <w:r>
              <w:rPr>
                <w:rFonts w:ascii="仿宋" w:hAnsi="仿宋" w:eastAsia="仿宋"/>
                <w:iCs/>
                <w:sz w:val="21"/>
                <w:szCs w:val="21"/>
              </w:rPr>
              <w:t>给予通报批评，取消优秀员工评选资格。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警告</w:t>
            </w:r>
          </w:p>
        </w:tc>
        <w:tc>
          <w:tcPr>
            <w:tcW w:w="5033" w:type="dxa"/>
            <w:shd w:val="clear" w:color="auto" w:fill="auto"/>
            <w:vAlign w:val="center"/>
          </w:tcPr>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①</w:t>
            </w:r>
            <w:r>
              <w:rPr>
                <w:rFonts w:ascii="仿宋" w:hAnsi="仿宋" w:eastAsia="仿宋"/>
                <w:sz w:val="21"/>
                <w:szCs w:val="21"/>
              </w:rPr>
              <w:t>各工段人员未对本岗位设备，尤其储罐等及时检修；</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②</w:t>
            </w:r>
            <w:r>
              <w:rPr>
                <w:rFonts w:ascii="仿宋" w:hAnsi="仿宋" w:eastAsia="仿宋"/>
                <w:sz w:val="21"/>
                <w:szCs w:val="21"/>
              </w:rPr>
              <w:t>在应急救援过程中指挥不当；或未进行有效部署。</w:t>
            </w:r>
          </w:p>
        </w:tc>
        <w:tc>
          <w:tcPr>
            <w:tcW w:w="2686" w:type="dxa"/>
            <w:shd w:val="clear" w:color="auto" w:fill="auto"/>
            <w:vAlign w:val="center"/>
          </w:tcPr>
          <w:p>
            <w:pPr>
              <w:ind w:left="0" w:leftChars="0" w:right="0" w:rightChars="0" w:firstLine="0" w:firstLineChars="0"/>
              <w:rPr>
                <w:rFonts w:ascii="仿宋" w:hAnsi="仿宋" w:eastAsia="仿宋"/>
                <w:iCs/>
                <w:sz w:val="21"/>
                <w:szCs w:val="21"/>
              </w:rPr>
            </w:pPr>
            <w:r>
              <w:rPr>
                <w:rFonts w:ascii="仿宋" w:hAnsi="仿宋" w:eastAsia="仿宋"/>
                <w:iCs/>
                <w:sz w:val="21"/>
                <w:szCs w:val="21"/>
              </w:rPr>
              <w:t>给予警告处分，处100～1000元罚款。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sz w:val="21"/>
                <w:szCs w:val="21"/>
              </w:rPr>
            </w:pPr>
            <w:r>
              <w:rPr>
                <w:rFonts w:ascii="仿宋" w:hAnsi="仿宋" w:eastAsia="仿宋"/>
                <w:sz w:val="21"/>
                <w:szCs w:val="21"/>
              </w:rPr>
              <w:t>记过</w:t>
            </w:r>
          </w:p>
        </w:tc>
        <w:tc>
          <w:tcPr>
            <w:tcW w:w="5033" w:type="dxa"/>
            <w:shd w:val="clear" w:color="auto" w:fill="auto"/>
            <w:vAlign w:val="center"/>
          </w:tcPr>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①</w:t>
            </w:r>
            <w:r>
              <w:rPr>
                <w:rFonts w:ascii="仿宋" w:hAnsi="仿宋" w:eastAsia="仿宋"/>
                <w:sz w:val="21"/>
                <w:szCs w:val="21"/>
              </w:rPr>
              <w:t>对能够预防的事故不采取积极措施避免或不上报使公司利益受到损失者；</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②</w:t>
            </w:r>
            <w:r>
              <w:rPr>
                <w:rFonts w:ascii="仿宋" w:hAnsi="仿宋" w:eastAsia="仿宋"/>
                <w:sz w:val="21"/>
                <w:szCs w:val="21"/>
              </w:rPr>
              <w:t>向上层领导提供不符合事实的情况者；</w:t>
            </w:r>
          </w:p>
          <w:p>
            <w:pPr>
              <w:ind w:left="0" w:leftChars="0" w:right="0" w:rightChars="0" w:firstLine="0" w:firstLineChars="0"/>
              <w:rPr>
                <w:rFonts w:ascii="仿宋" w:hAnsi="仿宋" w:eastAsia="仿宋"/>
                <w:sz w:val="21"/>
                <w:szCs w:val="21"/>
              </w:rPr>
            </w:pPr>
            <w:r>
              <w:rPr>
                <w:rFonts w:hint="eastAsia" w:ascii="仿宋" w:hAnsi="仿宋" w:eastAsia="仿宋" w:cs="宋体"/>
                <w:sz w:val="21"/>
                <w:szCs w:val="21"/>
              </w:rPr>
              <w:t>③</w:t>
            </w:r>
            <w:r>
              <w:rPr>
                <w:rFonts w:ascii="仿宋" w:hAnsi="仿宋" w:eastAsia="仿宋"/>
                <w:sz w:val="21"/>
                <w:szCs w:val="21"/>
              </w:rPr>
              <w:t>应急救援过程中自由散漫，不积极参与救援者。</w:t>
            </w:r>
          </w:p>
        </w:tc>
        <w:tc>
          <w:tcPr>
            <w:tcW w:w="2686" w:type="dxa"/>
            <w:shd w:val="clear" w:color="auto" w:fill="auto"/>
            <w:vAlign w:val="center"/>
          </w:tcPr>
          <w:p>
            <w:pPr>
              <w:ind w:left="0" w:leftChars="0" w:right="0" w:rightChars="0" w:firstLine="0" w:firstLineChars="0"/>
              <w:rPr>
                <w:rFonts w:ascii="仿宋" w:hAnsi="仿宋" w:eastAsia="仿宋"/>
                <w:iCs/>
                <w:sz w:val="21"/>
                <w:szCs w:val="21"/>
              </w:rPr>
            </w:pPr>
            <w:r>
              <w:rPr>
                <w:rFonts w:ascii="仿宋" w:hAnsi="仿宋" w:eastAsia="仿宋"/>
                <w:iCs/>
                <w:sz w:val="21"/>
                <w:szCs w:val="21"/>
              </w:rPr>
              <w:t>给予记过处理，视情节轻重处300～3000元的罚款。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80" w:hRule="atLeast"/>
          <w:jc w:val="center"/>
        </w:trPr>
        <w:tc>
          <w:tcPr>
            <w:tcW w:w="1484" w:type="dxa"/>
            <w:shd w:val="clear" w:color="auto" w:fill="auto"/>
            <w:vAlign w:val="center"/>
          </w:tcPr>
          <w:p>
            <w:pPr>
              <w:ind w:left="0" w:leftChars="0" w:right="0" w:rightChars="0" w:firstLine="0" w:firstLineChars="0"/>
              <w:jc w:val="center"/>
              <w:rPr>
                <w:rFonts w:ascii="仿宋" w:hAnsi="仿宋" w:eastAsia="仿宋"/>
                <w:iCs/>
                <w:sz w:val="21"/>
                <w:szCs w:val="21"/>
              </w:rPr>
            </w:pPr>
            <w:r>
              <w:rPr>
                <w:rFonts w:ascii="仿宋" w:hAnsi="仿宋" w:eastAsia="仿宋"/>
                <w:iCs/>
                <w:sz w:val="21"/>
                <w:szCs w:val="21"/>
              </w:rPr>
              <w:t>开除</w:t>
            </w:r>
          </w:p>
        </w:tc>
        <w:tc>
          <w:tcPr>
            <w:tcW w:w="5033" w:type="dxa"/>
            <w:shd w:val="clear" w:color="auto" w:fill="auto"/>
            <w:vAlign w:val="center"/>
          </w:tcPr>
          <w:p>
            <w:pPr>
              <w:ind w:left="0" w:leftChars="0" w:right="0" w:rightChars="0" w:firstLine="0" w:firstLineChars="0"/>
              <w:rPr>
                <w:rFonts w:ascii="仿宋" w:hAnsi="仿宋" w:eastAsia="仿宋"/>
                <w:iCs/>
                <w:sz w:val="21"/>
                <w:szCs w:val="21"/>
              </w:rPr>
            </w:pPr>
            <w:r>
              <w:rPr>
                <w:rFonts w:hint="eastAsia" w:ascii="仿宋" w:hAnsi="仿宋" w:eastAsia="仿宋" w:cs="宋体"/>
                <w:iCs/>
                <w:sz w:val="21"/>
                <w:szCs w:val="21"/>
              </w:rPr>
              <w:t>①</w:t>
            </w:r>
            <w:r>
              <w:rPr>
                <w:rFonts w:ascii="仿宋" w:hAnsi="仿宋" w:eastAsia="仿宋"/>
                <w:iCs/>
                <w:sz w:val="21"/>
                <w:szCs w:val="21"/>
              </w:rPr>
              <w:t>擅自旷工导致事故发生时未得到有效控制，导致公司造成重大损失者；</w:t>
            </w:r>
          </w:p>
          <w:p>
            <w:pPr>
              <w:ind w:left="0" w:leftChars="0" w:right="0" w:rightChars="0" w:firstLine="0" w:firstLineChars="0"/>
              <w:rPr>
                <w:rFonts w:ascii="仿宋" w:hAnsi="仿宋" w:eastAsia="仿宋"/>
                <w:iCs/>
                <w:sz w:val="21"/>
                <w:szCs w:val="21"/>
              </w:rPr>
            </w:pPr>
            <w:r>
              <w:rPr>
                <w:rFonts w:hint="eastAsia" w:ascii="仿宋" w:hAnsi="仿宋" w:eastAsia="仿宋" w:cs="宋体"/>
                <w:iCs/>
                <w:sz w:val="21"/>
                <w:szCs w:val="21"/>
              </w:rPr>
              <w:t>②</w:t>
            </w:r>
            <w:r>
              <w:rPr>
                <w:rFonts w:ascii="仿宋" w:hAnsi="仿宋" w:eastAsia="仿宋"/>
                <w:iCs/>
                <w:sz w:val="21"/>
                <w:szCs w:val="21"/>
              </w:rPr>
              <w:t>经多次培训演练仍不能胜任自己从事岗位自救 救援的；</w:t>
            </w:r>
          </w:p>
          <w:p>
            <w:pPr>
              <w:ind w:left="0" w:leftChars="0" w:right="0" w:rightChars="0" w:firstLine="0" w:firstLineChars="0"/>
              <w:rPr>
                <w:rFonts w:ascii="仿宋" w:hAnsi="仿宋" w:eastAsia="仿宋"/>
                <w:iCs/>
                <w:sz w:val="21"/>
                <w:szCs w:val="21"/>
              </w:rPr>
            </w:pPr>
            <w:r>
              <w:rPr>
                <w:rFonts w:hint="eastAsia" w:ascii="仿宋" w:hAnsi="仿宋" w:eastAsia="仿宋" w:cs="宋体"/>
                <w:iCs/>
                <w:sz w:val="21"/>
                <w:szCs w:val="21"/>
              </w:rPr>
              <w:t>③</w:t>
            </w:r>
            <w:r>
              <w:rPr>
                <w:rFonts w:ascii="仿宋" w:hAnsi="仿宋" w:eastAsia="仿宋"/>
                <w:iCs/>
                <w:sz w:val="21"/>
                <w:szCs w:val="21"/>
              </w:rPr>
              <w:t>在救援过程中不服从指挥，捣乱秩序，延误灾情控制，使公司蒙受更大损失的；</w:t>
            </w:r>
          </w:p>
          <w:p>
            <w:pPr>
              <w:ind w:left="0" w:leftChars="0" w:right="0" w:rightChars="0" w:firstLine="0" w:firstLineChars="0"/>
              <w:rPr>
                <w:rFonts w:ascii="仿宋" w:hAnsi="仿宋" w:eastAsia="仿宋"/>
                <w:iCs/>
                <w:sz w:val="21"/>
                <w:szCs w:val="21"/>
              </w:rPr>
            </w:pPr>
            <w:r>
              <w:rPr>
                <w:rFonts w:hint="eastAsia" w:ascii="仿宋" w:hAnsi="仿宋" w:eastAsia="仿宋" w:cs="宋体"/>
                <w:iCs/>
                <w:sz w:val="21"/>
                <w:szCs w:val="21"/>
              </w:rPr>
              <w:t>④</w:t>
            </w:r>
            <w:r>
              <w:rPr>
                <w:rFonts w:ascii="仿宋" w:hAnsi="仿宋" w:eastAsia="仿宋"/>
                <w:iCs/>
                <w:sz w:val="21"/>
                <w:szCs w:val="21"/>
              </w:rPr>
              <w:t>未正当理由连续旷工15日，或年累计旷工30日，致使应急救援机构无法运作者；</w:t>
            </w:r>
          </w:p>
          <w:p>
            <w:pPr>
              <w:ind w:left="0" w:leftChars="0" w:right="0" w:rightChars="0" w:firstLine="0" w:firstLineChars="0"/>
              <w:rPr>
                <w:rFonts w:ascii="仿宋" w:hAnsi="仿宋" w:eastAsia="仿宋"/>
                <w:iCs/>
                <w:sz w:val="21"/>
                <w:szCs w:val="21"/>
              </w:rPr>
            </w:pPr>
            <w:r>
              <w:rPr>
                <w:rFonts w:hint="eastAsia" w:ascii="仿宋" w:hAnsi="仿宋" w:eastAsia="仿宋" w:cs="宋体"/>
                <w:iCs/>
                <w:sz w:val="21"/>
                <w:szCs w:val="21"/>
              </w:rPr>
              <w:t>⑤</w:t>
            </w:r>
            <w:r>
              <w:rPr>
                <w:rFonts w:ascii="仿宋" w:hAnsi="仿宋" w:eastAsia="仿宋"/>
                <w:iCs/>
                <w:sz w:val="21"/>
                <w:szCs w:val="21"/>
              </w:rPr>
              <w:t>由公司界定的其他应开除的事件。</w:t>
            </w:r>
          </w:p>
        </w:tc>
        <w:tc>
          <w:tcPr>
            <w:tcW w:w="2686" w:type="dxa"/>
            <w:shd w:val="clear" w:color="auto" w:fill="auto"/>
            <w:vAlign w:val="center"/>
          </w:tcPr>
          <w:p>
            <w:pPr>
              <w:ind w:left="0" w:leftChars="0" w:right="0" w:rightChars="0" w:firstLine="0" w:firstLineChars="0"/>
              <w:rPr>
                <w:rFonts w:ascii="仿宋" w:hAnsi="仿宋" w:eastAsia="仿宋"/>
                <w:iCs/>
                <w:sz w:val="21"/>
                <w:szCs w:val="21"/>
              </w:rPr>
            </w:pPr>
            <w:r>
              <w:rPr>
                <w:rFonts w:ascii="仿宋" w:hAnsi="仿宋" w:eastAsia="仿宋"/>
                <w:iCs/>
                <w:sz w:val="21"/>
                <w:szCs w:val="21"/>
              </w:rPr>
              <w:t>对员工作除名处理，必要时移交司法机关。</w:t>
            </w:r>
          </w:p>
        </w:tc>
      </w:tr>
    </w:tbl>
    <w:p>
      <w:pPr>
        <w:pStyle w:val="2"/>
        <w:rPr>
          <w:rFonts w:ascii="仿宋" w:hAnsi="仿宋" w:eastAsia="仿宋"/>
          <w:sz w:val="21"/>
          <w:szCs w:val="24"/>
        </w:rPr>
      </w:pPr>
      <w:bookmarkStart w:id="299" w:name="_Toc20897"/>
      <w:r>
        <w:rPr>
          <w:rFonts w:ascii="仿宋" w:hAnsi="仿宋" w:eastAsia="仿宋"/>
        </w:rPr>
        <w:t>11保障措施</w:t>
      </w:r>
      <w:bookmarkEnd w:id="299"/>
    </w:p>
    <w:p>
      <w:pPr>
        <w:pStyle w:val="3"/>
        <w:rPr>
          <w:rFonts w:ascii="仿宋" w:hAnsi="仿宋" w:eastAsia="仿宋"/>
        </w:rPr>
      </w:pPr>
      <w:bookmarkStart w:id="300" w:name="_Toc13537"/>
      <w:r>
        <w:rPr>
          <w:rFonts w:ascii="仿宋" w:hAnsi="仿宋" w:eastAsia="仿宋"/>
        </w:rPr>
        <w:t>11.1经费及其他保障</w:t>
      </w:r>
      <w:bookmarkEnd w:id="300"/>
    </w:p>
    <w:p>
      <w:pPr>
        <w:pStyle w:val="4"/>
        <w:ind w:firstLine="560"/>
        <w:rPr>
          <w:rFonts w:ascii="仿宋" w:hAnsi="仿宋" w:eastAsia="仿宋"/>
        </w:rPr>
      </w:pPr>
      <w:r>
        <w:rPr>
          <w:rFonts w:ascii="仿宋" w:hAnsi="仿宋" w:eastAsia="仿宋"/>
        </w:rPr>
        <w:t>公司在资金预算中应设立应急救援专项资金，主要用于应急物资的配备、预案演练、奖励和发生事故时的急用。发生重、特大事故时，由公司应急管理领导小组协调解决，保证有足够的应急救援资金。</w:t>
      </w:r>
    </w:p>
    <w:p>
      <w:pPr>
        <w:pStyle w:val="3"/>
        <w:rPr>
          <w:rFonts w:ascii="仿宋" w:hAnsi="仿宋" w:eastAsia="仿宋"/>
        </w:rPr>
      </w:pPr>
      <w:bookmarkStart w:id="301" w:name="_Toc30899"/>
      <w:r>
        <w:rPr>
          <w:rFonts w:ascii="仿宋" w:hAnsi="仿宋" w:eastAsia="仿宋"/>
        </w:rPr>
        <w:t>11.2应急物资装备保障</w:t>
      </w:r>
      <w:bookmarkEnd w:id="301"/>
    </w:p>
    <w:p>
      <w:pPr>
        <w:pStyle w:val="4"/>
        <w:ind w:firstLine="560"/>
        <w:rPr>
          <w:rFonts w:ascii="仿宋" w:hAnsi="仿宋" w:eastAsia="仿宋"/>
        </w:rPr>
      </w:pPr>
      <w:r>
        <w:rPr>
          <w:rFonts w:ascii="仿宋" w:hAnsi="仿宋" w:eastAsia="仿宋"/>
        </w:rPr>
        <w:t>企业坚持“谁主管、谁负责”的原则，做到“专业管理、保障急用、专物专用”。</w:t>
      </w:r>
    </w:p>
    <w:p>
      <w:pPr>
        <w:pStyle w:val="4"/>
        <w:ind w:firstLine="560"/>
        <w:rPr>
          <w:rFonts w:ascii="仿宋" w:hAnsi="仿宋" w:eastAsia="仿宋"/>
        </w:rPr>
      </w:pPr>
      <w:r>
        <w:rPr>
          <w:rFonts w:hint="eastAsia" w:ascii="仿宋" w:hAnsi="仿宋" w:eastAsia="仿宋"/>
        </w:rPr>
        <w:t>（1）</w:t>
      </w:r>
      <w:r>
        <w:rPr>
          <w:rFonts w:ascii="仿宋" w:hAnsi="仿宋" w:eastAsia="仿宋"/>
        </w:rPr>
        <w:t>建立应急救援设施、设备等储备制度，储备必要的应急物资和装备。</w:t>
      </w:r>
    </w:p>
    <w:p>
      <w:pPr>
        <w:pStyle w:val="4"/>
        <w:ind w:firstLine="560"/>
        <w:rPr>
          <w:rFonts w:ascii="仿宋" w:hAnsi="仿宋" w:eastAsia="仿宋"/>
        </w:rPr>
      </w:pPr>
      <w:r>
        <w:rPr>
          <w:rFonts w:hint="eastAsia" w:ascii="仿宋" w:hAnsi="仿宋" w:eastAsia="仿宋"/>
        </w:rPr>
        <w:t>（2）</w:t>
      </w:r>
      <w:r>
        <w:rPr>
          <w:rFonts w:ascii="仿宋" w:hAnsi="仿宋" w:eastAsia="仿宋"/>
        </w:rPr>
        <w:t>加强对储备物资的管理，防止储备物资被盗用、挪用、流失和失效，对各类物资及时予以补充和更新，各类应急物资不得随意挪用。</w:t>
      </w:r>
    </w:p>
    <w:p>
      <w:pPr>
        <w:pStyle w:val="4"/>
        <w:ind w:firstLine="560"/>
        <w:rPr>
          <w:rFonts w:ascii="仿宋" w:hAnsi="仿宋" w:eastAsia="仿宋"/>
        </w:rPr>
      </w:pPr>
      <w:r>
        <w:rPr>
          <w:rFonts w:hint="eastAsia" w:ascii="仿宋" w:hAnsi="仿宋" w:eastAsia="仿宋"/>
        </w:rPr>
        <w:t>（3）</w:t>
      </w:r>
      <w:r>
        <w:rPr>
          <w:rFonts w:ascii="仿宋" w:hAnsi="仿宋" w:eastAsia="仿宋"/>
        </w:rPr>
        <w:t>企业在车间</w:t>
      </w:r>
      <w:r>
        <w:rPr>
          <w:rFonts w:hint="eastAsia" w:ascii="仿宋" w:hAnsi="仿宋" w:eastAsia="仿宋"/>
        </w:rPr>
        <w:t>、</w:t>
      </w:r>
      <w:r>
        <w:rPr>
          <w:rFonts w:ascii="仿宋" w:hAnsi="仿宋" w:eastAsia="仿宋"/>
        </w:rPr>
        <w:t>原辅料存放区</w:t>
      </w:r>
      <w:r>
        <w:rPr>
          <w:rFonts w:hint="eastAsia" w:ascii="仿宋" w:hAnsi="仿宋" w:eastAsia="仿宋"/>
        </w:rPr>
        <w:t>、储罐</w:t>
      </w:r>
      <w:r>
        <w:rPr>
          <w:rFonts w:ascii="仿宋" w:hAnsi="仿宋" w:eastAsia="仿宋"/>
        </w:rPr>
        <w:t>区配备必要的消防用具，如消防栓等。</w:t>
      </w:r>
    </w:p>
    <w:p>
      <w:pPr>
        <w:pStyle w:val="4"/>
        <w:ind w:firstLine="560"/>
        <w:rPr>
          <w:rFonts w:ascii="仿宋" w:hAnsi="仿宋" w:eastAsia="仿宋"/>
        </w:rPr>
      </w:pPr>
      <w:r>
        <w:rPr>
          <w:rFonts w:hint="eastAsia" w:ascii="仿宋" w:hAnsi="仿宋" w:eastAsia="仿宋"/>
        </w:rPr>
        <w:t>（4）企业设置专门的应急物资库，内有急救箱；担架；合适的灭火器；防毒面具；</w:t>
      </w:r>
      <w:r>
        <w:rPr>
          <w:rFonts w:ascii="仿宋" w:hAnsi="仿宋" w:eastAsia="仿宋"/>
        </w:rPr>
        <w:t>工具，如</w:t>
      </w:r>
      <w:r>
        <w:rPr>
          <w:rFonts w:hint="eastAsia" w:ascii="仿宋" w:hAnsi="仿宋" w:eastAsia="仿宋"/>
        </w:rPr>
        <w:t>铁锹</w:t>
      </w:r>
      <w:r>
        <w:rPr>
          <w:rFonts w:ascii="仿宋" w:hAnsi="仿宋" w:eastAsia="仿宋"/>
        </w:rPr>
        <w:t>、</w:t>
      </w:r>
      <w:r>
        <w:rPr>
          <w:rFonts w:hint="eastAsia" w:ascii="仿宋" w:hAnsi="仿宋" w:eastAsia="仿宋"/>
        </w:rPr>
        <w:t>沙桐</w:t>
      </w:r>
      <w:r>
        <w:rPr>
          <w:rFonts w:ascii="仿宋" w:hAnsi="仿宋" w:eastAsia="仿宋"/>
        </w:rPr>
        <w:t>、扳手、螺丝刀、梯子和绳子；划分危险区域界限的仪器和标志。</w:t>
      </w:r>
    </w:p>
    <w:p>
      <w:pPr>
        <w:pStyle w:val="3"/>
        <w:rPr>
          <w:rFonts w:ascii="仿宋" w:hAnsi="仿宋" w:eastAsia="仿宋"/>
        </w:rPr>
      </w:pPr>
      <w:bookmarkStart w:id="302" w:name="_Toc30779"/>
      <w:r>
        <w:rPr>
          <w:rFonts w:ascii="仿宋" w:hAnsi="仿宋" w:eastAsia="仿宋"/>
        </w:rPr>
        <w:t>11.3应急队伍保障</w:t>
      </w:r>
      <w:bookmarkEnd w:id="302"/>
    </w:p>
    <w:p>
      <w:pPr>
        <w:pStyle w:val="4"/>
        <w:ind w:firstLine="560"/>
        <w:rPr>
          <w:rFonts w:ascii="仿宋" w:hAnsi="仿宋" w:eastAsia="仿宋"/>
        </w:rPr>
      </w:pPr>
      <w:r>
        <w:rPr>
          <w:rFonts w:hint="eastAsia" w:ascii="仿宋" w:hAnsi="仿宋" w:eastAsia="仿宋"/>
        </w:rPr>
        <w:t>（1）</w:t>
      </w:r>
      <w:r>
        <w:rPr>
          <w:rFonts w:ascii="仿宋" w:hAnsi="仿宋" w:eastAsia="仿宋"/>
        </w:rPr>
        <w:t>公司各部门人员是基本的应急救援队伍。</w:t>
      </w:r>
    </w:p>
    <w:p>
      <w:pPr>
        <w:pStyle w:val="4"/>
        <w:ind w:firstLine="560"/>
        <w:rPr>
          <w:rFonts w:ascii="仿宋" w:hAnsi="仿宋" w:eastAsia="仿宋"/>
        </w:rPr>
      </w:pPr>
      <w:r>
        <w:rPr>
          <w:rFonts w:hint="eastAsia" w:ascii="仿宋" w:hAnsi="仿宋" w:eastAsia="仿宋"/>
        </w:rPr>
        <w:t>（2）</w:t>
      </w:r>
      <w:r>
        <w:rPr>
          <w:rFonts w:ascii="仿宋" w:hAnsi="仿宋" w:eastAsia="仿宋"/>
        </w:rPr>
        <w:t>公司成立应急救援指挥部，主要包括总指挥、副总指挥、后勤疏散组、物资供应组、抢险救援组</w:t>
      </w:r>
      <w:r>
        <w:rPr>
          <w:rFonts w:hint="eastAsia" w:ascii="仿宋" w:hAnsi="仿宋" w:eastAsia="仿宋"/>
        </w:rPr>
        <w:t>、</w:t>
      </w:r>
      <w:r>
        <w:rPr>
          <w:rFonts w:ascii="仿宋" w:hAnsi="仿宋" w:eastAsia="仿宋"/>
        </w:rPr>
        <w:t>消防保卫组。各小组成员根据人员变化情况及时调整，保证应急队伍的连续性和稳定性。</w:t>
      </w:r>
    </w:p>
    <w:p>
      <w:pPr>
        <w:pStyle w:val="4"/>
        <w:ind w:firstLine="560"/>
        <w:rPr>
          <w:rFonts w:ascii="仿宋" w:hAnsi="仿宋" w:eastAsia="仿宋"/>
        </w:rPr>
      </w:pPr>
      <w:r>
        <w:rPr>
          <w:rFonts w:hint="eastAsia" w:ascii="仿宋" w:hAnsi="仿宋" w:eastAsia="仿宋"/>
        </w:rPr>
        <w:t>（3）</w:t>
      </w:r>
      <w:r>
        <w:rPr>
          <w:rFonts w:ascii="仿宋" w:hAnsi="仿宋" w:eastAsia="仿宋"/>
        </w:rPr>
        <w:t>各应急小组成员必须清晰自身职责，公司应开展全方位的应急培训，增强各级人员的应急知识和应急能力，在应急响应过程中能够保障自身和他人安全、控制以至消除风险和危害因素。</w:t>
      </w:r>
    </w:p>
    <w:p>
      <w:pPr>
        <w:pStyle w:val="4"/>
        <w:ind w:firstLine="560"/>
        <w:rPr>
          <w:rFonts w:ascii="仿宋" w:hAnsi="仿宋" w:eastAsia="仿宋"/>
        </w:rPr>
      </w:pPr>
      <w:r>
        <w:rPr>
          <w:rFonts w:hint="eastAsia" w:ascii="仿宋" w:hAnsi="仿宋" w:eastAsia="仿宋"/>
        </w:rPr>
        <w:t>（4）</w:t>
      </w:r>
      <w:r>
        <w:rPr>
          <w:rFonts w:ascii="仿宋" w:hAnsi="仿宋" w:eastAsia="仿宋"/>
        </w:rPr>
        <w:t>加强保障队伍工作的领导，突发事件发生后，根据突发事件响应等级，开展应急处置，各级人员服从现场应急管理。</w:t>
      </w:r>
    </w:p>
    <w:p>
      <w:pPr>
        <w:pStyle w:val="4"/>
        <w:ind w:firstLine="560"/>
        <w:rPr>
          <w:rFonts w:ascii="仿宋" w:hAnsi="仿宋" w:eastAsia="仿宋"/>
          <w:color w:val="FF0000"/>
        </w:rPr>
      </w:pPr>
      <w:r>
        <w:rPr>
          <w:rFonts w:hint="eastAsia" w:ascii="仿宋" w:hAnsi="仿宋" w:eastAsia="仿宋"/>
        </w:rPr>
        <w:t>（5）</w:t>
      </w:r>
      <w:r>
        <w:rPr>
          <w:rFonts w:ascii="仿宋" w:hAnsi="仿宋" w:eastAsia="仿宋"/>
        </w:rPr>
        <w:t>各应急小组成员必须保持手机24小时开机，各小组配备对讲机。</w:t>
      </w:r>
    </w:p>
    <w:p>
      <w:pPr>
        <w:pStyle w:val="3"/>
        <w:rPr>
          <w:rFonts w:ascii="仿宋" w:hAnsi="仿宋" w:eastAsia="仿宋"/>
        </w:rPr>
      </w:pPr>
      <w:bookmarkStart w:id="303" w:name="_Toc7580"/>
      <w:r>
        <w:rPr>
          <w:rFonts w:ascii="仿宋" w:hAnsi="仿宋" w:eastAsia="仿宋"/>
        </w:rPr>
        <w:t>11.4通信与信息保障</w:t>
      </w:r>
      <w:bookmarkEnd w:id="303"/>
    </w:p>
    <w:p>
      <w:pPr>
        <w:pStyle w:val="4"/>
        <w:ind w:firstLine="560"/>
        <w:rPr>
          <w:rFonts w:ascii="仿宋" w:hAnsi="仿宋" w:eastAsia="仿宋"/>
        </w:rPr>
      </w:pPr>
      <w:r>
        <w:rPr>
          <w:rFonts w:hint="eastAsia" w:ascii="仿宋" w:hAnsi="仿宋" w:eastAsia="仿宋"/>
        </w:rPr>
        <w:t>（1）</w:t>
      </w:r>
      <w:r>
        <w:rPr>
          <w:rFonts w:ascii="仿宋" w:hAnsi="仿宋" w:eastAsia="仿宋"/>
        </w:rPr>
        <w:t>制定应急通信支持保障措施，保证在各种应急情况下都能够通信畅通，信息传递及时。完善应急指挥通信、网络系统，以移动电话、固定电话、行政电话、调度电话、无线对讲机为核心，建立有线和无线相结合的稳定、可靠的应急通信系统。</w:t>
      </w:r>
    </w:p>
    <w:p>
      <w:pPr>
        <w:pStyle w:val="4"/>
        <w:ind w:firstLine="560"/>
        <w:rPr>
          <w:rFonts w:ascii="仿宋" w:hAnsi="仿宋" w:eastAsia="仿宋"/>
        </w:rPr>
      </w:pPr>
      <w:r>
        <w:rPr>
          <w:rFonts w:hint="eastAsia" w:ascii="仿宋" w:hAnsi="仿宋" w:eastAsia="仿宋"/>
        </w:rPr>
        <w:t>（2）</w:t>
      </w:r>
      <w:r>
        <w:rPr>
          <w:rFonts w:ascii="仿宋" w:hAnsi="仿宋" w:eastAsia="仿宋"/>
        </w:rPr>
        <w:t>公布应急汇报及主要通讯、联络电话，根据职务及任职人员的变动情况及时更新联系方式。</w:t>
      </w:r>
    </w:p>
    <w:p>
      <w:pPr>
        <w:pStyle w:val="4"/>
        <w:ind w:firstLine="560"/>
        <w:rPr>
          <w:rFonts w:ascii="仿宋" w:hAnsi="仿宋" w:eastAsia="仿宋"/>
        </w:rPr>
      </w:pPr>
      <w:r>
        <w:rPr>
          <w:rFonts w:hint="eastAsia" w:ascii="仿宋" w:hAnsi="仿宋" w:eastAsia="仿宋"/>
        </w:rPr>
        <w:t>（3）</w:t>
      </w:r>
      <w:r>
        <w:rPr>
          <w:rFonts w:ascii="仿宋" w:hAnsi="仿宋" w:eastAsia="仿宋"/>
        </w:rPr>
        <w:t>搜集应急必须的上级部门或社会支持单位的电话并予以公布。</w:t>
      </w:r>
    </w:p>
    <w:p>
      <w:pPr>
        <w:pStyle w:val="4"/>
        <w:ind w:firstLine="560"/>
        <w:rPr>
          <w:rFonts w:ascii="仿宋" w:hAnsi="仿宋" w:eastAsia="仿宋"/>
          <w:color w:val="FF0000"/>
          <w:szCs w:val="28"/>
        </w:rPr>
      </w:pPr>
      <w:r>
        <w:rPr>
          <w:rFonts w:ascii="仿宋" w:hAnsi="仿宋" w:eastAsia="仿宋"/>
        </w:rPr>
        <w:t>内、外部联系方式见附件。</w:t>
      </w:r>
    </w:p>
    <w:p>
      <w:pPr>
        <w:pStyle w:val="2"/>
        <w:rPr>
          <w:rFonts w:ascii="仿宋" w:hAnsi="仿宋" w:eastAsia="仿宋"/>
          <w:sz w:val="28"/>
          <w:szCs w:val="28"/>
        </w:rPr>
      </w:pPr>
      <w:bookmarkStart w:id="304" w:name="_Toc29371"/>
      <w:r>
        <w:rPr>
          <w:rFonts w:ascii="仿宋" w:hAnsi="仿宋" w:eastAsia="仿宋"/>
        </w:rPr>
        <w:t>12预案的评审备案发布和更新</w:t>
      </w:r>
      <w:bookmarkEnd w:id="304"/>
    </w:p>
    <w:p>
      <w:pPr>
        <w:pStyle w:val="4"/>
        <w:ind w:firstLine="560"/>
        <w:rPr>
          <w:rFonts w:ascii="仿宋" w:hAnsi="仿宋" w:eastAsia="仿宋"/>
        </w:rPr>
      </w:pPr>
      <w:r>
        <w:rPr>
          <w:rFonts w:ascii="仿宋" w:hAnsi="仿宋" w:eastAsia="仿宋"/>
        </w:rPr>
        <w:t>(1)内部评审要求</w:t>
      </w:r>
    </w:p>
    <w:p>
      <w:pPr>
        <w:pStyle w:val="4"/>
        <w:ind w:firstLine="560"/>
        <w:rPr>
          <w:rFonts w:ascii="仿宋" w:hAnsi="仿宋" w:eastAsia="仿宋"/>
        </w:rPr>
      </w:pPr>
      <w:r>
        <w:rPr>
          <w:rFonts w:ascii="仿宋" w:hAnsi="仿宋" w:eastAsia="仿宋"/>
        </w:rPr>
        <w:t>应急预案的内部评审，由</w:t>
      </w:r>
      <w:r>
        <w:rPr>
          <w:rFonts w:hint="eastAsia" w:ascii="仿宋" w:hAnsi="仿宋" w:eastAsia="仿宋"/>
        </w:rPr>
        <w:t>江西金铂铼资源循环新技术有限公司</w:t>
      </w:r>
      <w:r>
        <w:rPr>
          <w:rFonts w:ascii="仿宋" w:hAnsi="仿宋" w:eastAsia="仿宋"/>
        </w:rPr>
        <w:t>主要负责人组织有关部门和人员进行。</w:t>
      </w:r>
    </w:p>
    <w:p>
      <w:pPr>
        <w:pStyle w:val="4"/>
        <w:ind w:firstLine="560"/>
        <w:rPr>
          <w:rFonts w:ascii="仿宋" w:hAnsi="仿宋" w:eastAsia="仿宋"/>
        </w:rPr>
      </w:pPr>
      <w:r>
        <w:rPr>
          <w:rFonts w:ascii="仿宋" w:hAnsi="仿宋" w:eastAsia="仿宋"/>
        </w:rPr>
        <w:t>(2)外部评审</w:t>
      </w:r>
    </w:p>
    <w:p>
      <w:pPr>
        <w:pStyle w:val="4"/>
        <w:ind w:firstLine="560"/>
        <w:rPr>
          <w:rFonts w:ascii="仿宋" w:hAnsi="仿宋" w:eastAsia="仿宋"/>
        </w:rPr>
      </w:pPr>
      <w:r>
        <w:rPr>
          <w:rFonts w:ascii="仿宋" w:hAnsi="仿宋" w:eastAsia="仿宋"/>
        </w:rPr>
        <w:t>应急预案的外部评审，由应急预案编制单位、专家以及公司负责人联合进行。</w:t>
      </w:r>
    </w:p>
    <w:p>
      <w:pPr>
        <w:pStyle w:val="4"/>
        <w:ind w:firstLine="560"/>
        <w:rPr>
          <w:rFonts w:ascii="仿宋" w:hAnsi="仿宋" w:eastAsia="仿宋"/>
        </w:rPr>
      </w:pPr>
      <w:r>
        <w:rPr>
          <w:rFonts w:ascii="仿宋" w:hAnsi="仿宋" w:eastAsia="仿宋"/>
        </w:rPr>
        <w:t>(3)备案时间及部门</w:t>
      </w:r>
    </w:p>
    <w:p>
      <w:pPr>
        <w:pStyle w:val="4"/>
        <w:ind w:firstLine="560"/>
        <w:rPr>
          <w:rFonts w:ascii="仿宋" w:hAnsi="仿宋" w:eastAsia="仿宋"/>
        </w:rPr>
      </w:pPr>
      <w:r>
        <w:rPr>
          <w:rFonts w:ascii="仿宋" w:hAnsi="仿宋" w:eastAsia="仿宋"/>
        </w:rPr>
        <w:t>预案经评审完善后，由公司总经理签署发布，并报环保主管部门备案。</w:t>
      </w:r>
    </w:p>
    <w:p>
      <w:pPr>
        <w:pStyle w:val="4"/>
        <w:ind w:firstLine="560"/>
        <w:rPr>
          <w:rFonts w:ascii="仿宋" w:hAnsi="仿宋" w:eastAsia="仿宋"/>
        </w:rPr>
      </w:pPr>
      <w:r>
        <w:rPr>
          <w:rFonts w:ascii="仿宋" w:hAnsi="仿宋" w:eastAsia="仿宋"/>
        </w:rPr>
        <w:t>(4)发布时间、抄送的部门</w:t>
      </w:r>
    </w:p>
    <w:p>
      <w:pPr>
        <w:pStyle w:val="4"/>
        <w:ind w:firstLine="560"/>
        <w:rPr>
          <w:rFonts w:ascii="仿宋" w:hAnsi="仿宋" w:eastAsia="仿宋"/>
        </w:rPr>
      </w:pPr>
      <w:r>
        <w:rPr>
          <w:rFonts w:hint="eastAsia" w:ascii="仿宋" w:hAnsi="仿宋" w:eastAsia="仿宋"/>
        </w:rPr>
        <w:t>预案发布时间：待召开预案外部评审会、并修改完善后确定。</w:t>
      </w:r>
    </w:p>
    <w:p>
      <w:pPr>
        <w:pStyle w:val="4"/>
        <w:ind w:firstLine="560"/>
        <w:rPr>
          <w:rFonts w:ascii="仿宋" w:hAnsi="仿宋" w:eastAsia="仿宋"/>
        </w:rPr>
      </w:pPr>
      <w:r>
        <w:rPr>
          <w:rFonts w:ascii="仿宋" w:hAnsi="仿宋" w:eastAsia="仿宋"/>
          <w:szCs w:val="28"/>
        </w:rPr>
        <w:t>(5)更新计划与及时备案</w:t>
      </w:r>
    </w:p>
    <w:p>
      <w:pPr>
        <w:pStyle w:val="4"/>
        <w:ind w:firstLine="560"/>
        <w:rPr>
          <w:rFonts w:ascii="仿宋" w:hAnsi="仿宋" w:eastAsia="仿宋"/>
        </w:rPr>
      </w:pPr>
      <w:r>
        <w:rPr>
          <w:rFonts w:ascii="仿宋" w:hAnsi="仿宋" w:eastAsia="仿宋"/>
        </w:rPr>
        <w:t>公司应根据自身内部因素(如公司改、扩建项目等情况)和外部环境的变化及时更新应急预案，至少每三年更新一次，并进行评审、发布并及时备案，若重要内容发生变化，须及时修订并重新组织评估、备案。</w:t>
      </w:r>
    </w:p>
    <w:p>
      <w:pPr>
        <w:pStyle w:val="2"/>
        <w:rPr>
          <w:rFonts w:ascii="仿宋" w:hAnsi="仿宋" w:eastAsia="仿宋"/>
          <w:szCs w:val="28"/>
        </w:rPr>
      </w:pPr>
      <w:bookmarkStart w:id="305" w:name="_Toc20491"/>
      <w:r>
        <w:rPr>
          <w:rFonts w:ascii="仿宋" w:hAnsi="仿宋" w:eastAsia="仿宋"/>
        </w:rPr>
        <w:t>13预案的实施和生效时间</w:t>
      </w:r>
      <w:bookmarkEnd w:id="305"/>
    </w:p>
    <w:p>
      <w:pPr>
        <w:pStyle w:val="4"/>
        <w:ind w:firstLine="560"/>
        <w:rPr>
          <w:rFonts w:ascii="仿宋" w:hAnsi="仿宋" w:eastAsia="仿宋"/>
          <w:color w:val="FF0000"/>
          <w:szCs w:val="28"/>
        </w:rPr>
      </w:pPr>
      <w:r>
        <w:rPr>
          <w:rFonts w:hint="eastAsia" w:ascii="仿宋" w:hAnsi="仿宋" w:eastAsia="仿宋"/>
        </w:rPr>
        <w:t>预案实施时间：待召开预案外部评审会、并修改完善后确定。预案发布后，经学习了解后开始实施和生效。应急预案更新后应及时在全厂范围内公布，并通知原备案部门。</w:t>
      </w:r>
    </w:p>
    <w:p>
      <w:pPr>
        <w:pStyle w:val="2"/>
        <w:rPr>
          <w:rFonts w:ascii="仿宋" w:hAnsi="仿宋" w:eastAsia="仿宋"/>
        </w:rPr>
      </w:pPr>
      <w:bookmarkStart w:id="306" w:name="_Toc23743"/>
      <w:r>
        <w:rPr>
          <w:rFonts w:ascii="仿宋" w:hAnsi="仿宋" w:eastAsia="仿宋"/>
        </w:rPr>
        <w:t>14 附件</w:t>
      </w:r>
      <w:bookmarkEnd w:id="306"/>
    </w:p>
    <w:p>
      <w:pPr>
        <w:spacing w:line="500" w:lineRule="exact"/>
        <w:ind w:left="280" w:right="280" w:firstLine="560"/>
        <w:rPr>
          <w:rFonts w:ascii="仿宋" w:hAnsi="仿宋" w:eastAsia="仿宋"/>
          <w:szCs w:val="28"/>
        </w:rPr>
      </w:pPr>
      <w:r>
        <w:rPr>
          <w:rFonts w:hint="eastAsia" w:ascii="仿宋" w:hAnsi="仿宋" w:eastAsia="仿宋"/>
          <w:szCs w:val="28"/>
        </w:rPr>
        <w:t>1</w:t>
      </w:r>
      <w:r>
        <w:rPr>
          <w:rFonts w:ascii="仿宋" w:hAnsi="仿宋" w:eastAsia="仿宋"/>
          <w:szCs w:val="28"/>
        </w:rPr>
        <w:t>、项目地理位置示意图</w:t>
      </w:r>
    </w:p>
    <w:p>
      <w:pPr>
        <w:spacing w:line="500" w:lineRule="exact"/>
        <w:ind w:left="280" w:right="280" w:firstLine="560"/>
        <w:rPr>
          <w:rFonts w:ascii="仿宋" w:hAnsi="仿宋" w:eastAsia="仿宋"/>
          <w:color w:val="auto"/>
          <w:szCs w:val="28"/>
        </w:rPr>
      </w:pPr>
      <w:r>
        <w:rPr>
          <w:rFonts w:hint="eastAsia" w:ascii="仿宋" w:hAnsi="仿宋" w:eastAsia="仿宋"/>
          <w:color w:val="auto"/>
          <w:szCs w:val="28"/>
        </w:rPr>
        <w:t>2</w:t>
      </w:r>
      <w:r>
        <w:rPr>
          <w:rFonts w:ascii="仿宋" w:hAnsi="仿宋" w:eastAsia="仿宋"/>
          <w:color w:val="auto"/>
          <w:szCs w:val="28"/>
        </w:rPr>
        <w:t>、厂区平面布置图</w:t>
      </w:r>
    </w:p>
    <w:p>
      <w:pPr>
        <w:spacing w:line="500" w:lineRule="exact"/>
        <w:ind w:left="280" w:right="280" w:firstLine="560"/>
        <w:rPr>
          <w:rFonts w:ascii="仿宋" w:hAnsi="仿宋" w:eastAsia="仿宋"/>
          <w:color w:val="auto"/>
          <w:szCs w:val="28"/>
        </w:rPr>
      </w:pPr>
      <w:r>
        <w:rPr>
          <w:rFonts w:hint="eastAsia" w:ascii="仿宋" w:hAnsi="仿宋" w:eastAsia="仿宋"/>
          <w:color w:val="auto"/>
          <w:szCs w:val="28"/>
        </w:rPr>
        <w:t>3</w:t>
      </w:r>
      <w:r>
        <w:rPr>
          <w:rFonts w:ascii="仿宋" w:hAnsi="仿宋" w:eastAsia="仿宋"/>
          <w:color w:val="auto"/>
          <w:szCs w:val="28"/>
        </w:rPr>
        <w:t>、</w:t>
      </w:r>
      <w:r>
        <w:rPr>
          <w:rFonts w:hint="eastAsia" w:ascii="仿宋" w:hAnsi="仿宋" w:eastAsia="仿宋"/>
          <w:color w:val="auto"/>
          <w:szCs w:val="28"/>
        </w:rPr>
        <w:t>重要物资装备清单</w:t>
      </w:r>
    </w:p>
    <w:p>
      <w:pPr>
        <w:spacing w:line="500" w:lineRule="exact"/>
        <w:ind w:left="280" w:right="280" w:firstLine="560"/>
        <w:rPr>
          <w:rFonts w:ascii="仿宋" w:hAnsi="仿宋" w:eastAsia="仿宋"/>
          <w:color w:val="auto"/>
          <w:szCs w:val="28"/>
        </w:rPr>
      </w:pPr>
      <w:r>
        <w:rPr>
          <w:rFonts w:hint="eastAsia" w:ascii="仿宋" w:hAnsi="仿宋" w:eastAsia="仿宋"/>
          <w:color w:val="auto"/>
          <w:szCs w:val="28"/>
        </w:rPr>
        <w:t>4、突发环境事件报警程序</w:t>
      </w:r>
    </w:p>
    <w:p>
      <w:pPr>
        <w:spacing w:line="500" w:lineRule="exact"/>
        <w:ind w:left="280" w:right="280" w:firstLine="560"/>
        <w:rPr>
          <w:rFonts w:hint="eastAsia" w:ascii="仿宋" w:hAnsi="仿宋" w:eastAsia="仿宋"/>
          <w:color w:val="auto"/>
          <w:szCs w:val="28"/>
        </w:rPr>
      </w:pPr>
      <w:r>
        <w:rPr>
          <w:rFonts w:hint="eastAsia" w:ascii="仿宋" w:hAnsi="仿宋" w:eastAsia="仿宋"/>
          <w:color w:val="auto"/>
          <w:szCs w:val="28"/>
        </w:rPr>
        <w:t>5</w:t>
      </w:r>
      <w:r>
        <w:rPr>
          <w:rFonts w:ascii="仿宋" w:hAnsi="仿宋" w:eastAsia="仿宋"/>
          <w:color w:val="auto"/>
          <w:szCs w:val="28"/>
        </w:rPr>
        <w:t>、</w:t>
      </w:r>
      <w:r>
        <w:rPr>
          <w:rFonts w:hint="eastAsia" w:ascii="仿宋" w:hAnsi="仿宋" w:eastAsia="仿宋"/>
          <w:color w:val="auto"/>
          <w:szCs w:val="28"/>
        </w:rPr>
        <w:t>应急救援组织名单</w:t>
      </w:r>
    </w:p>
    <w:p>
      <w:pPr>
        <w:spacing w:line="500" w:lineRule="exact"/>
        <w:ind w:left="280" w:right="280" w:firstLine="560"/>
        <w:rPr>
          <w:rFonts w:hint="eastAsia" w:ascii="仿宋" w:hAnsi="仿宋" w:eastAsia="仿宋"/>
          <w:color w:val="auto"/>
          <w:szCs w:val="28"/>
          <w:lang w:val="en-US" w:eastAsia="zh-CN"/>
        </w:rPr>
      </w:pPr>
      <w:r>
        <w:rPr>
          <w:rFonts w:hint="eastAsia" w:ascii="仿宋" w:hAnsi="仿宋" w:eastAsia="仿宋"/>
          <w:color w:val="auto"/>
          <w:szCs w:val="28"/>
          <w:lang w:val="en-US" w:eastAsia="zh-CN"/>
        </w:rPr>
        <w:t>6、外部应急联系电话</w:t>
      </w:r>
    </w:p>
    <w:p>
      <w:pPr>
        <w:spacing w:line="500" w:lineRule="exact"/>
        <w:ind w:left="280" w:right="280" w:firstLine="560"/>
        <w:rPr>
          <w:rFonts w:ascii="仿宋" w:hAnsi="仿宋" w:eastAsia="仿宋"/>
          <w:color w:val="auto"/>
          <w:szCs w:val="28"/>
        </w:rPr>
      </w:pPr>
      <w:r>
        <w:rPr>
          <w:rFonts w:hint="eastAsia" w:ascii="仿宋" w:hAnsi="仿宋" w:eastAsia="仿宋"/>
          <w:color w:val="auto"/>
          <w:szCs w:val="28"/>
          <w:lang w:val="en-US" w:eastAsia="zh-CN"/>
        </w:rPr>
        <w:t>7</w:t>
      </w:r>
      <w:r>
        <w:rPr>
          <w:rFonts w:ascii="仿宋" w:hAnsi="仿宋" w:eastAsia="仿宋"/>
          <w:color w:val="auto"/>
          <w:szCs w:val="28"/>
        </w:rPr>
        <w:t>、</w:t>
      </w:r>
      <w:r>
        <w:rPr>
          <w:rFonts w:hint="eastAsia" w:ascii="仿宋" w:hAnsi="仿宋" w:eastAsia="仿宋"/>
          <w:color w:val="auto"/>
          <w:szCs w:val="28"/>
        </w:rPr>
        <w:t>突发环境事件应急组织机构和指挥体系图</w:t>
      </w:r>
    </w:p>
    <w:p>
      <w:pPr>
        <w:spacing w:line="500" w:lineRule="exact"/>
        <w:ind w:left="280" w:right="280" w:firstLine="560"/>
        <w:rPr>
          <w:rFonts w:ascii="仿宋" w:hAnsi="仿宋" w:eastAsia="仿宋"/>
          <w:color w:val="auto"/>
          <w:szCs w:val="28"/>
        </w:rPr>
      </w:pPr>
    </w:p>
    <w:p>
      <w:pPr>
        <w:spacing w:line="500" w:lineRule="exact"/>
        <w:ind w:left="280" w:right="280" w:firstLine="560"/>
        <w:rPr>
          <w:rFonts w:ascii="仿宋" w:hAnsi="仿宋" w:eastAsia="仿宋"/>
          <w:color w:val="auto"/>
          <w:szCs w:val="28"/>
        </w:rPr>
      </w:pPr>
    </w:p>
    <w:p>
      <w:pPr>
        <w:spacing w:line="500" w:lineRule="exact"/>
        <w:ind w:left="280" w:right="280" w:firstLine="560"/>
        <w:rPr>
          <w:rFonts w:ascii="仿宋" w:hAnsi="仿宋" w:eastAsia="仿宋"/>
          <w:color w:val="FF0000"/>
          <w:szCs w:val="28"/>
        </w:rPr>
      </w:pPr>
    </w:p>
    <w:p>
      <w:pPr>
        <w:spacing w:line="500" w:lineRule="exact"/>
        <w:ind w:left="280" w:right="280" w:firstLine="560"/>
        <w:rPr>
          <w:rFonts w:ascii="仿宋" w:hAnsi="仿宋" w:eastAsia="仿宋"/>
          <w:color w:val="FF0000"/>
          <w:szCs w:val="28"/>
        </w:rPr>
      </w:pPr>
    </w:p>
    <w:p>
      <w:pPr>
        <w:spacing w:line="500" w:lineRule="exact"/>
        <w:ind w:left="280" w:right="280" w:firstLine="560"/>
        <w:rPr>
          <w:rFonts w:ascii="仿宋" w:hAnsi="仿宋" w:eastAsia="仿宋"/>
          <w:color w:val="FF0000"/>
          <w:szCs w:val="28"/>
        </w:rPr>
      </w:pPr>
    </w:p>
    <w:p>
      <w:pPr>
        <w:spacing w:line="500" w:lineRule="exact"/>
        <w:ind w:left="280" w:right="280" w:firstLine="560"/>
        <w:rPr>
          <w:rFonts w:ascii="仿宋" w:hAnsi="仿宋" w:eastAsia="仿宋"/>
          <w:color w:val="FF0000"/>
          <w:szCs w:val="28"/>
        </w:rPr>
      </w:pPr>
    </w:p>
    <w:p>
      <w:pPr>
        <w:spacing w:line="500" w:lineRule="exact"/>
        <w:ind w:left="280" w:right="280" w:firstLine="560"/>
        <w:rPr>
          <w:rFonts w:ascii="仿宋" w:hAnsi="仿宋" w:eastAsia="仿宋"/>
          <w:color w:val="FF0000"/>
          <w:szCs w:val="28"/>
        </w:rPr>
        <w:sectPr>
          <w:footerReference r:id="rId6" w:type="default"/>
          <w:footerReference r:id="rId7" w:type="even"/>
          <w:pgSz w:w="11906" w:h="16838"/>
          <w:pgMar w:top="1440" w:right="1274" w:bottom="1440" w:left="1418" w:header="851" w:footer="992" w:gutter="0"/>
          <w:cols w:space="425" w:num="1"/>
          <w:docGrid w:type="lines" w:linePitch="312" w:charSpace="0"/>
        </w:sectPr>
      </w:pPr>
    </w:p>
    <w:p>
      <w:pPr>
        <w:spacing w:line="500" w:lineRule="exact"/>
        <w:ind w:left="280" w:right="280" w:firstLine="560"/>
        <w:rPr>
          <w:rFonts w:ascii="仿宋" w:hAnsi="仿宋" w:eastAsia="仿宋"/>
          <w:color w:val="FF0000"/>
          <w:szCs w:val="28"/>
        </w:rPr>
        <w:sectPr>
          <w:pgSz w:w="16838" w:h="11906" w:orient="landscape"/>
          <w:pgMar w:top="1417" w:right="1440" w:bottom="1276" w:left="1440" w:header="851" w:footer="992" w:gutter="0"/>
          <w:cols w:space="0" w:num="1"/>
          <w:rtlGutter w:val="0"/>
          <w:docGrid w:type="lines" w:linePitch="383" w:charSpace="0"/>
        </w:sectPr>
      </w:pPr>
      <w:r>
        <w:rPr>
          <w:rFonts w:hint="eastAsia" w:ascii="仿宋" w:hAnsi="仿宋" w:eastAsia="仿宋"/>
          <w:szCs w:val="28"/>
          <w:lang w:eastAsia="zh-CN"/>
        </w:rPr>
        <w:t>附件</w:t>
      </w:r>
      <w:r>
        <w:rPr>
          <w:sz w:val="28"/>
        </w:rPr>
        <w:pict>
          <v:shape id="_x0000_s1394" o:spid="_x0000_s1394" o:spt="202" type="#_x0000_t202" style="position:absolute;left:0pt;margin-left:2.45pt;margin-top:2.6pt;height:414.3pt;width:689.25pt;z-index:251661312;mso-width-relative:page;mso-height-relative:page;" fillcolor="#FFFFFF" filled="t" stroked="t" coordsize="21600,21600">
            <v:path/>
            <v:fill on="t" color2="#FFFFFF" focussize="0,0"/>
            <v:stroke color="#FFFFFF"/>
            <v:imagedata o:title=""/>
            <o:lock v:ext="edit" aspectratio="f"/>
            <v:textbox>
              <w:txbxContent>
                <w:p>
                  <w:pPr>
                    <w:ind w:left="0" w:leftChars="0" w:firstLine="0" w:firstLineChars="0"/>
                  </w:pPr>
                  <w:r>
                    <w:drawing>
                      <wp:inline distT="0" distB="0" distL="114300" distR="114300">
                        <wp:extent cx="8215630" cy="5064125"/>
                        <wp:effectExtent l="0" t="0" r="13970" b="317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18"/>
                                <a:stretch>
                                  <a:fillRect/>
                                </a:stretch>
                              </pic:blipFill>
                              <pic:spPr>
                                <a:xfrm>
                                  <a:off x="0" y="0"/>
                                  <a:ext cx="8215630" cy="5064125"/>
                                </a:xfrm>
                                <a:prstGeom prst="rect">
                                  <a:avLst/>
                                </a:prstGeom>
                                <a:noFill/>
                                <a:ln w="9525">
                                  <a:noFill/>
                                </a:ln>
                              </pic:spPr>
                            </pic:pic>
                          </a:graphicData>
                        </a:graphic>
                      </wp:inline>
                    </w:drawing>
                  </w:r>
                </w:p>
              </w:txbxContent>
            </v:textbox>
          </v:shape>
        </w:pict>
      </w:r>
    </w:p>
    <w:p>
      <w:pPr>
        <w:snapToGrid w:val="0"/>
        <w:ind w:left="0" w:leftChars="0" w:right="280" w:firstLine="0" w:firstLineChars="0"/>
        <w:jc w:val="both"/>
        <w:rPr>
          <w:rFonts w:ascii="仿宋" w:hAnsi="仿宋" w:eastAsia="仿宋"/>
          <w:color w:val="FF0000"/>
          <w:szCs w:val="28"/>
        </w:rPr>
      </w:pPr>
      <w:r>
        <w:rPr>
          <w:rFonts w:hint="eastAsia" w:ascii="仿宋" w:hAnsi="仿宋" w:eastAsia="仿宋"/>
          <w:color w:val="FF0000"/>
          <w:szCs w:val="28"/>
        </w:rPr>
        <w:t>附件二  厂区平面布置图</w:t>
      </w:r>
    </w:p>
    <w:p>
      <w:pPr>
        <w:snapToGrid w:val="0"/>
        <w:ind w:leftChars="0" w:right="280" w:firstLine="0" w:firstLineChars="0"/>
        <w:jc w:val="center"/>
        <w:rPr>
          <w:rFonts w:ascii="仿宋" w:hAnsi="仿宋" w:eastAsia="仿宋"/>
          <w:color w:val="FF0000"/>
          <w:szCs w:val="28"/>
        </w:rPr>
      </w:pPr>
    </w:p>
    <w:p>
      <w:pPr>
        <w:snapToGrid w:val="0"/>
        <w:ind w:leftChars="0" w:right="280" w:firstLine="0" w:firstLineChars="0"/>
        <w:jc w:val="center"/>
        <w:rPr>
          <w:rFonts w:hint="eastAsia" w:ascii="仿宋" w:hAnsi="仿宋" w:eastAsia="仿宋"/>
          <w:color w:val="FF0000"/>
          <w:szCs w:val="28"/>
          <w:lang w:eastAsia="zh-CN"/>
        </w:rPr>
        <w:sectPr>
          <w:pgSz w:w="11906" w:h="16838"/>
          <w:pgMar w:top="1440" w:right="1276" w:bottom="1440" w:left="1417" w:header="851" w:footer="992" w:gutter="0"/>
          <w:cols w:space="0" w:num="1"/>
          <w:rtlGutter w:val="0"/>
          <w:docGrid w:type="lines" w:linePitch="383" w:charSpace="0"/>
        </w:sectPr>
      </w:pPr>
      <w:r>
        <w:rPr>
          <w:rFonts w:hint="eastAsia" w:ascii="仿宋" w:hAnsi="仿宋" w:eastAsia="仿宋"/>
          <w:color w:val="FF0000"/>
          <w:szCs w:val="28"/>
          <w:lang w:eastAsia="zh-CN"/>
        </w:rPr>
        <w:drawing>
          <wp:inline distT="0" distB="0" distL="114300" distR="114300">
            <wp:extent cx="5810250" cy="8259445"/>
            <wp:effectExtent l="0" t="0" r="0" b="8255"/>
            <wp:docPr id="34" name="图片 34" descr="微信图片_2018071716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80717161237"/>
                    <pic:cNvPicPr>
                      <a:picLocks noChangeAspect="1"/>
                    </pic:cNvPicPr>
                  </pic:nvPicPr>
                  <pic:blipFill>
                    <a:blip r:embed="rId19"/>
                    <a:stretch>
                      <a:fillRect/>
                    </a:stretch>
                  </pic:blipFill>
                  <pic:spPr>
                    <a:xfrm>
                      <a:off x="0" y="0"/>
                      <a:ext cx="5810250" cy="8259445"/>
                    </a:xfrm>
                    <a:prstGeom prst="rect">
                      <a:avLst/>
                    </a:prstGeom>
                  </pic:spPr>
                </pic:pic>
              </a:graphicData>
            </a:graphic>
          </wp:inline>
        </w:drawing>
      </w:r>
    </w:p>
    <w:p>
      <w:pPr>
        <w:snapToGrid w:val="0"/>
        <w:ind w:leftChars="0" w:right="280" w:firstLine="0" w:firstLineChars="0"/>
        <w:jc w:val="center"/>
        <w:rPr>
          <w:rFonts w:ascii="仿宋" w:hAnsi="仿宋" w:eastAsia="仿宋"/>
          <w:szCs w:val="28"/>
        </w:rPr>
      </w:pPr>
    </w:p>
    <w:p>
      <w:pPr>
        <w:snapToGrid w:val="0"/>
        <w:ind w:leftChars="0" w:right="280" w:firstLine="0" w:firstLineChars="0"/>
        <w:jc w:val="left"/>
        <w:rPr>
          <w:rFonts w:ascii="仿宋" w:hAnsi="仿宋" w:eastAsia="仿宋"/>
          <w:sz w:val="32"/>
          <w:szCs w:val="32"/>
        </w:rPr>
      </w:pPr>
      <w:r>
        <w:rPr>
          <w:rFonts w:hint="eastAsia" w:ascii="仿宋" w:hAnsi="仿宋" w:eastAsia="仿宋"/>
          <w:sz w:val="32"/>
          <w:szCs w:val="32"/>
          <w:lang w:eastAsia="zh-CN"/>
        </w:rPr>
        <w:t>附件三</w:t>
      </w:r>
      <w:r>
        <w:rPr>
          <w:rFonts w:hint="eastAsia" w:ascii="仿宋" w:hAnsi="仿宋" w:eastAsia="仿宋"/>
          <w:sz w:val="32"/>
          <w:szCs w:val="32"/>
          <w:lang w:val="en-US" w:eastAsia="zh-CN"/>
        </w:rPr>
        <w:t xml:space="preserve">                </w:t>
      </w:r>
      <w:r>
        <w:rPr>
          <w:rFonts w:hint="eastAsia" w:ascii="仿宋" w:hAnsi="仿宋" w:eastAsia="仿宋"/>
          <w:sz w:val="32"/>
          <w:szCs w:val="32"/>
        </w:rPr>
        <w:t>重要物</w:t>
      </w:r>
      <w:r>
        <w:rPr>
          <w:rFonts w:hint="eastAsia" w:ascii="仿宋" w:hAnsi="仿宋" w:eastAsia="仿宋"/>
          <w:sz w:val="32"/>
          <w:szCs w:val="32"/>
          <w:lang w:eastAsia="zh-CN"/>
        </w:rPr>
        <w:t>资</w:t>
      </w:r>
      <w:r>
        <w:rPr>
          <w:rFonts w:hint="eastAsia" w:ascii="仿宋" w:hAnsi="仿宋" w:eastAsia="仿宋"/>
          <w:sz w:val="32"/>
          <w:szCs w:val="32"/>
        </w:rPr>
        <w:t>装备清单</w:t>
      </w:r>
    </w:p>
    <w:tbl>
      <w:tblPr>
        <w:tblStyle w:val="40"/>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3139"/>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类型</w:t>
            </w: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名称</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3140"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通讯设备</w:t>
            </w: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普通电话、传真、带上网的电脑以及无线电话</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restart"/>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消防设备</w:t>
            </w: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干粉灭火器</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lang w:val="en-US" w:eastAsia="zh-CN"/>
              </w:rPr>
              <w:t>60</w:t>
            </w:r>
            <w:r>
              <w:rPr>
                <w:rFonts w:hint="eastAsia" w:ascii="仿宋" w:hAnsi="仿宋" w:eastAsia="仿宋"/>
                <w:szCs w:val="28"/>
              </w:rPr>
              <w:t>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气体灭火器</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lang w:val="en-US" w:eastAsia="zh-CN"/>
              </w:rPr>
              <w:t>2</w:t>
            </w:r>
            <w:r>
              <w:rPr>
                <w:rFonts w:hint="eastAsia" w:ascii="仿宋" w:hAnsi="仿宋" w:eastAsia="仿宋"/>
                <w:szCs w:val="28"/>
              </w:rPr>
              <w:t>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消防栓</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lang w:val="en-US" w:eastAsia="zh-CN"/>
              </w:rPr>
              <w:t>10</w:t>
            </w:r>
            <w:r>
              <w:rPr>
                <w:rFonts w:hint="eastAsia" w:ascii="仿宋" w:hAnsi="仿宋" w:eastAsia="仿宋"/>
                <w:szCs w:val="2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7" w:hRule="atLeast"/>
        </w:trPr>
        <w:tc>
          <w:tcPr>
            <w:tcW w:w="3140" w:type="dxa"/>
            <w:vMerge w:val="restart"/>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泄漏控制设备</w:t>
            </w: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干沙、石灰等吸收物质</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3吨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耐腐蚀泵</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潜污泵</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钢铲</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20把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restart"/>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个人防护设备</w:t>
            </w: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过滤式防毒面具</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防尘口罩</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防护手套</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安全帽</w:t>
            </w:r>
          </w:p>
        </w:tc>
        <w:tc>
          <w:tcPr>
            <w:tcW w:w="3141" w:type="dxa"/>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耐酸碱雨鞋</w:t>
            </w:r>
          </w:p>
        </w:tc>
        <w:tc>
          <w:tcPr>
            <w:tcW w:w="3141" w:type="dxa"/>
            <w:vAlign w:val="center"/>
          </w:tcPr>
          <w:p>
            <w:pPr>
              <w:snapToGrid w:val="0"/>
              <w:ind w:left="0" w:leftChars="0" w:right="0" w:rightChars="0" w:firstLine="0" w:firstLineChars="0"/>
              <w:jc w:val="center"/>
              <w:rPr>
                <w:rFonts w:hint="eastAsia" w:ascii="仿宋" w:hAnsi="仿宋" w:eastAsia="仿宋"/>
                <w:szCs w:val="28"/>
              </w:rPr>
            </w:pPr>
            <w:r>
              <w:rPr>
                <w:rFonts w:hint="eastAsia" w:ascii="仿宋" w:hAnsi="仿宋" w:eastAsia="仿宋"/>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restart"/>
            <w:vAlign w:val="center"/>
          </w:tcPr>
          <w:p>
            <w:pPr>
              <w:snapToGrid w:val="0"/>
              <w:ind w:left="0" w:leftChars="0" w:right="0" w:rightChars="0" w:firstLine="0" w:firstLineChars="0"/>
              <w:jc w:val="center"/>
              <w:rPr>
                <w:rFonts w:ascii="仿宋" w:hAnsi="仿宋" w:eastAsia="仿宋"/>
                <w:szCs w:val="28"/>
              </w:rPr>
            </w:pPr>
            <w:r>
              <w:rPr>
                <w:rFonts w:hint="eastAsia" w:ascii="仿宋" w:hAnsi="仿宋" w:eastAsia="仿宋"/>
                <w:szCs w:val="28"/>
              </w:rPr>
              <w:t>急救物</w:t>
            </w:r>
            <w:r>
              <w:rPr>
                <w:rFonts w:hint="eastAsia" w:ascii="仿宋" w:hAnsi="仿宋" w:eastAsia="仿宋"/>
                <w:szCs w:val="28"/>
                <w:lang w:eastAsia="zh-CN"/>
              </w:rPr>
              <w:t>资</w:t>
            </w: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正压式呼吸器</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便携式担架</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急救箱</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对讲机</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测厚壁仪</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有毒气体检测仪</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可燃气体检测仪</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3140" w:type="dxa"/>
            <w:vMerge w:val="continue"/>
            <w:vAlign w:val="center"/>
          </w:tcPr>
          <w:p>
            <w:pPr>
              <w:snapToGrid w:val="0"/>
              <w:ind w:left="0" w:leftChars="0" w:right="0" w:rightChars="0" w:firstLine="0" w:firstLineChars="0"/>
              <w:jc w:val="center"/>
              <w:rPr>
                <w:rFonts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安全带、安全绳</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eastAsia="zh-CN"/>
              </w:rPr>
              <w:t>各</w:t>
            </w:r>
            <w:r>
              <w:rPr>
                <w:rFonts w:hint="eastAsia" w:ascii="仿宋" w:hAnsi="仿宋" w:eastAsia="仿宋"/>
                <w:szCs w:val="28"/>
                <w:lang w:val="en-US" w:eastAsia="zh-CN"/>
              </w:rPr>
              <w:t>10副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3140" w:type="dxa"/>
            <w:vMerge w:val="continue"/>
            <w:vAlign w:val="center"/>
          </w:tcPr>
          <w:p>
            <w:pPr>
              <w:snapToGrid w:val="0"/>
              <w:ind w:left="0" w:leftChars="0" w:right="0" w:rightChars="0" w:firstLine="0" w:firstLineChars="0"/>
              <w:jc w:val="center"/>
              <w:rPr>
                <w:rFonts w:hint="eastAsia"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防酸服</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1" w:hRule="atLeast"/>
        </w:trPr>
        <w:tc>
          <w:tcPr>
            <w:tcW w:w="3140" w:type="dxa"/>
            <w:vMerge w:val="continue"/>
            <w:vAlign w:val="center"/>
          </w:tcPr>
          <w:p>
            <w:pPr>
              <w:snapToGrid w:val="0"/>
              <w:ind w:left="0" w:leftChars="0" w:right="0" w:rightChars="0" w:firstLine="0" w:firstLineChars="0"/>
              <w:jc w:val="center"/>
              <w:rPr>
                <w:rFonts w:hint="eastAsia"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消防战斗服</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3140" w:type="dxa"/>
            <w:vMerge w:val="continue"/>
            <w:vAlign w:val="center"/>
          </w:tcPr>
          <w:p>
            <w:pPr>
              <w:snapToGrid w:val="0"/>
              <w:ind w:left="0" w:leftChars="0" w:right="0" w:rightChars="0" w:firstLine="0" w:firstLineChars="0"/>
              <w:jc w:val="center"/>
              <w:rPr>
                <w:rFonts w:hint="eastAsia"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消防水枪、水带</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10副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3140" w:type="dxa"/>
            <w:vMerge w:val="continue"/>
            <w:vAlign w:val="center"/>
          </w:tcPr>
          <w:p>
            <w:pPr>
              <w:snapToGrid w:val="0"/>
              <w:ind w:left="0" w:leftChars="0" w:right="0" w:rightChars="0" w:firstLine="0" w:firstLineChars="0"/>
              <w:jc w:val="center"/>
              <w:rPr>
                <w:rFonts w:hint="eastAsia"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叉车</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3140" w:type="dxa"/>
            <w:vMerge w:val="continue"/>
            <w:vAlign w:val="center"/>
          </w:tcPr>
          <w:p>
            <w:pPr>
              <w:snapToGrid w:val="0"/>
              <w:ind w:left="0" w:leftChars="0" w:right="0" w:rightChars="0" w:firstLine="0" w:firstLineChars="0"/>
              <w:jc w:val="center"/>
              <w:rPr>
                <w:rFonts w:hint="eastAsia"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铲车</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3140" w:type="dxa"/>
            <w:vMerge w:val="continue"/>
            <w:vAlign w:val="center"/>
          </w:tcPr>
          <w:p>
            <w:pPr>
              <w:snapToGrid w:val="0"/>
              <w:ind w:left="0" w:leftChars="0" w:right="0" w:rightChars="0" w:firstLine="0" w:firstLineChars="0"/>
              <w:jc w:val="center"/>
              <w:rPr>
                <w:rFonts w:hint="eastAsia" w:ascii="仿宋" w:hAnsi="仿宋" w:eastAsia="仿宋"/>
                <w:szCs w:val="28"/>
              </w:rPr>
            </w:pPr>
          </w:p>
        </w:tc>
        <w:tc>
          <w:tcPr>
            <w:tcW w:w="3139" w:type="dxa"/>
            <w:vAlign w:val="center"/>
          </w:tcPr>
          <w:p>
            <w:pPr>
              <w:snapToGrid w:val="0"/>
              <w:ind w:left="0" w:leftChars="0" w:right="0" w:rightChars="0" w:firstLine="0" w:firstLineChars="0"/>
              <w:jc w:val="center"/>
              <w:rPr>
                <w:rFonts w:hint="eastAsia" w:ascii="仿宋" w:hAnsi="仿宋" w:eastAsia="仿宋"/>
                <w:szCs w:val="28"/>
                <w:lang w:eastAsia="zh-CN"/>
              </w:rPr>
            </w:pPr>
            <w:r>
              <w:rPr>
                <w:rFonts w:hint="eastAsia" w:ascii="仿宋" w:hAnsi="仿宋" w:eastAsia="仿宋"/>
                <w:szCs w:val="28"/>
                <w:lang w:eastAsia="zh-CN"/>
              </w:rPr>
              <w:t>疏散车辆</w:t>
            </w:r>
          </w:p>
        </w:tc>
        <w:tc>
          <w:tcPr>
            <w:tcW w:w="3141" w:type="dxa"/>
            <w:vAlign w:val="center"/>
          </w:tcPr>
          <w:p>
            <w:pPr>
              <w:snapToGrid w:val="0"/>
              <w:ind w:left="0" w:leftChars="0" w:right="0" w:rightChars="0" w:firstLine="0" w:firstLineChars="0"/>
              <w:jc w:val="center"/>
              <w:rPr>
                <w:rFonts w:hint="eastAsia" w:ascii="仿宋" w:hAnsi="仿宋" w:eastAsia="仿宋"/>
                <w:szCs w:val="28"/>
                <w:lang w:val="en-US" w:eastAsia="zh-CN"/>
              </w:rPr>
            </w:pPr>
            <w:r>
              <w:rPr>
                <w:rFonts w:hint="eastAsia" w:ascii="仿宋" w:hAnsi="仿宋" w:eastAsia="仿宋"/>
                <w:szCs w:val="28"/>
                <w:lang w:val="en-US" w:eastAsia="zh-CN"/>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3140" w:type="dxa"/>
            <w:vAlign w:val="center"/>
          </w:tcPr>
          <w:p>
            <w:pPr>
              <w:snapToGrid w:val="0"/>
              <w:ind w:left="0" w:leftChars="0" w:right="0" w:rightChars="0" w:firstLine="0" w:firstLineChars="0"/>
              <w:jc w:val="center"/>
              <w:rPr>
                <w:rFonts w:hint="eastAsia" w:ascii="仿宋" w:hAnsi="仿宋" w:eastAsia="仿宋"/>
                <w:szCs w:val="28"/>
              </w:rPr>
            </w:pPr>
            <w:r>
              <w:rPr>
                <w:rFonts w:hint="eastAsia" w:ascii="仿宋" w:hAnsi="仿宋" w:eastAsia="仿宋"/>
                <w:szCs w:val="28"/>
              </w:rPr>
              <w:t>检测设备</w:t>
            </w:r>
          </w:p>
        </w:tc>
        <w:tc>
          <w:tcPr>
            <w:tcW w:w="3139" w:type="dxa"/>
            <w:vAlign w:val="center"/>
          </w:tcPr>
          <w:p>
            <w:pPr>
              <w:snapToGrid w:val="0"/>
              <w:ind w:left="0" w:leftChars="0" w:right="0" w:rightChars="0" w:firstLine="0" w:firstLineChars="0"/>
              <w:jc w:val="center"/>
              <w:rPr>
                <w:rFonts w:hint="eastAsia" w:ascii="仿宋" w:hAnsi="仿宋" w:eastAsia="仿宋"/>
                <w:szCs w:val="28"/>
              </w:rPr>
            </w:pPr>
            <w:r>
              <w:rPr>
                <w:rFonts w:hint="eastAsia" w:ascii="仿宋" w:hAnsi="仿宋" w:eastAsia="仿宋"/>
                <w:szCs w:val="28"/>
              </w:rPr>
              <w:t>分析室分析设备</w:t>
            </w:r>
          </w:p>
        </w:tc>
        <w:tc>
          <w:tcPr>
            <w:tcW w:w="3141" w:type="dxa"/>
            <w:vAlign w:val="center"/>
          </w:tcPr>
          <w:p>
            <w:pPr>
              <w:snapToGrid w:val="0"/>
              <w:ind w:left="0" w:leftChars="0" w:right="0" w:rightChars="0" w:firstLine="0" w:firstLineChars="0"/>
              <w:jc w:val="center"/>
              <w:rPr>
                <w:rFonts w:hint="eastAsia" w:ascii="仿宋" w:hAnsi="仿宋" w:eastAsia="仿宋"/>
                <w:szCs w:val="28"/>
              </w:rPr>
            </w:pPr>
            <w:r>
              <w:rPr>
                <w:rFonts w:hint="eastAsia" w:ascii="仿宋" w:hAnsi="仿宋" w:eastAsia="仿宋"/>
                <w:szCs w:val="28"/>
              </w:rPr>
              <w:t>若干</w:t>
            </w:r>
          </w:p>
        </w:tc>
      </w:tr>
    </w:tbl>
    <w:p>
      <w:pPr>
        <w:snapToGrid w:val="0"/>
        <w:ind w:left="0" w:leftChars="0" w:right="0" w:rightChars="0" w:firstLine="0" w:firstLineChars="0"/>
        <w:jc w:val="both"/>
        <w:rPr>
          <w:rFonts w:ascii="仿宋" w:hAnsi="仿宋" w:eastAsia="仿宋"/>
          <w:szCs w:val="28"/>
        </w:rPr>
        <w:sectPr>
          <w:pgSz w:w="11906" w:h="16838"/>
          <w:pgMar w:top="1440" w:right="1276" w:bottom="1440" w:left="1417" w:header="851" w:footer="992" w:gutter="0"/>
          <w:cols w:space="0" w:num="1"/>
          <w:rtlGutter w:val="0"/>
          <w:docGrid w:type="lines" w:linePitch="383" w:charSpace="0"/>
        </w:sectPr>
      </w:pPr>
    </w:p>
    <w:p>
      <w:pPr>
        <w:snapToGrid w:val="0"/>
        <w:ind w:left="0" w:leftChars="0" w:right="280" w:firstLine="0" w:firstLineChars="0"/>
        <w:jc w:val="center"/>
        <w:rPr>
          <w:rFonts w:ascii="仿宋" w:hAnsi="仿宋" w:eastAsia="仿宋"/>
          <w:szCs w:val="28"/>
        </w:rPr>
      </w:pPr>
    </w:p>
    <w:p>
      <w:pPr>
        <w:snapToGrid w:val="0"/>
        <w:ind w:left="0" w:leftChars="0" w:right="280" w:firstLine="0" w:firstLineChars="0"/>
        <w:jc w:val="center"/>
        <w:rPr>
          <w:rFonts w:ascii="仿宋" w:hAnsi="仿宋" w:eastAsia="仿宋"/>
          <w:szCs w:val="28"/>
        </w:rPr>
      </w:pPr>
      <w:r>
        <w:rPr>
          <w:rFonts w:hint="eastAsia" w:ascii="仿宋" w:hAnsi="仿宋" w:eastAsia="仿宋"/>
          <w:szCs w:val="28"/>
        </w:rPr>
        <w:object>
          <v:shape id="_x0000_i1025" o:spt="75" type="#_x0000_t75" style="height:354pt;width:712.5pt;" o:ole="t" filled="f" o:preferrelative="t" stroked="f" coordsize="21600,21600">
            <v:path/>
            <v:fill on="f" focussize="0,0"/>
            <v:stroke on="f" joinstyle="miter"/>
            <v:imagedata r:id="rId21" cropleft="10291f" croptop="8291f" cropright="17344f" cropbottom="7983f" o:title=""/>
            <o:lock v:ext="edit" aspectratio="f"/>
            <w10:wrap type="none"/>
            <w10:anchorlock/>
          </v:shape>
          <o:OLEObject Type="Embed" ProgID="AutoCAD.Drawing.18" ShapeID="_x0000_i1025" DrawAspect="Content" ObjectID="_1468075725" r:id="rId20">
            <o:LockedField>false</o:LockedField>
          </o:OLEObject>
        </w:object>
      </w:r>
    </w:p>
    <w:p>
      <w:pPr>
        <w:snapToGrid w:val="0"/>
        <w:ind w:left="0" w:leftChars="0" w:right="280" w:firstLine="0" w:firstLineChars="0"/>
        <w:jc w:val="center"/>
        <w:rPr>
          <w:rFonts w:ascii="仿宋" w:hAnsi="仿宋" w:eastAsia="仿宋"/>
          <w:szCs w:val="28"/>
        </w:rPr>
      </w:pPr>
    </w:p>
    <w:p>
      <w:pPr>
        <w:snapToGrid w:val="0"/>
        <w:ind w:left="0" w:leftChars="0" w:right="280" w:firstLine="0" w:firstLineChars="0"/>
        <w:jc w:val="center"/>
        <w:rPr>
          <w:rFonts w:ascii="仿宋" w:hAnsi="仿宋" w:eastAsia="仿宋"/>
          <w:szCs w:val="28"/>
        </w:rPr>
        <w:sectPr>
          <w:pgSz w:w="16838" w:h="11906" w:orient="landscape"/>
          <w:pgMar w:top="1417" w:right="1440" w:bottom="1276" w:left="1440" w:header="851" w:footer="992" w:gutter="0"/>
          <w:cols w:space="0" w:num="1"/>
          <w:rtlGutter w:val="0"/>
          <w:docGrid w:type="lines" w:linePitch="383" w:charSpace="0"/>
        </w:sectPr>
      </w:pPr>
      <w:r>
        <w:rPr>
          <w:rFonts w:hint="eastAsia" w:ascii="仿宋" w:hAnsi="仿宋" w:eastAsia="仿宋"/>
          <w:szCs w:val="28"/>
        </w:rPr>
        <w:t>附件四突发环境事件报警程序</w:t>
      </w:r>
    </w:p>
    <w:p>
      <w:pPr>
        <w:snapToGrid w:val="0"/>
        <w:ind w:left="0" w:leftChars="0" w:right="280" w:firstLine="0" w:firstLineChars="0"/>
        <w:jc w:val="center"/>
        <w:rPr>
          <w:rFonts w:ascii="仿宋" w:hAnsi="仿宋" w:eastAsia="仿宋"/>
          <w:szCs w:val="28"/>
        </w:rPr>
      </w:pPr>
    </w:p>
    <w:p>
      <w:pPr>
        <w:snapToGrid w:val="0"/>
        <w:spacing w:before="191" w:beforeLines="50" w:after="191" w:afterLines="50" w:line="360" w:lineRule="auto"/>
        <w:ind w:left="0" w:leftChars="0" w:right="280" w:firstLine="1400" w:firstLineChars="500"/>
        <w:jc w:val="left"/>
        <w:rPr>
          <w:rFonts w:ascii="仿宋" w:hAnsi="仿宋" w:eastAsia="仿宋"/>
          <w:color w:val="000000" w:themeColor="text1"/>
          <w:szCs w:val="28"/>
        </w:rPr>
      </w:pPr>
      <w:r>
        <w:rPr>
          <w:rFonts w:hint="eastAsia" w:ascii="仿宋" w:hAnsi="仿宋" w:eastAsia="仿宋"/>
          <w:color w:val="000000" w:themeColor="text1"/>
          <w:szCs w:val="28"/>
          <w:lang w:val="en-US" w:eastAsia="zh-CN"/>
        </w:rPr>
        <w:t xml:space="preserve">                </w:t>
      </w:r>
      <w:r>
        <w:rPr>
          <w:rFonts w:hint="eastAsia" w:ascii="仿宋" w:hAnsi="仿宋" w:eastAsia="仿宋"/>
          <w:color w:val="000000" w:themeColor="text1"/>
          <w:szCs w:val="28"/>
        </w:rPr>
        <w:t>应急救援联系电话</w:t>
      </w:r>
    </w:p>
    <w:tbl>
      <w:tblPr>
        <w:tblStyle w:val="40"/>
        <w:tblW w:w="94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775"/>
        <w:gridCol w:w="2775"/>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序号</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姓名</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联系电话</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固定电话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1</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邓许生</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13907064196</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0796-2620699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2</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黄少华</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13970444130</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3</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邓六生</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13970631093</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4</w:t>
            </w:r>
          </w:p>
        </w:tc>
        <w:tc>
          <w:tcPr>
            <w:tcW w:w="2775" w:type="dxa"/>
            <w:vAlign w:val="center"/>
          </w:tcPr>
          <w:p>
            <w:pPr>
              <w:snapToGrid w:val="0"/>
              <w:ind w:left="0" w:leftChars="0" w:right="0" w:rightChars="0" w:firstLine="840" w:firstLineChars="300"/>
              <w:jc w:val="both"/>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邓水仔</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15216283817</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5</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陈雄文</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18270961921</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6</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邹新根</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15170686752</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7</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皮林如</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18770645557</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8</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吴飞云</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13755432125</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9</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艾跃雄</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13755452487</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lang w:val="en-US" w:eastAsia="zh-CN"/>
              </w:rPr>
              <w:t>10</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廖新红</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15770671537</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jc w:val="center"/>
        </w:trPr>
        <w:tc>
          <w:tcPr>
            <w:tcW w:w="1104"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11</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周小兰</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15949691709</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12</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戈菊兰</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13970613907</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邓亮群</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13970450042</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4"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14</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聂美艳</w:t>
            </w:r>
          </w:p>
        </w:tc>
        <w:tc>
          <w:tcPr>
            <w:tcW w:w="2775" w:type="dxa"/>
            <w:vAlign w:val="center"/>
          </w:tcPr>
          <w:p>
            <w:pPr>
              <w:snapToGrid w:val="0"/>
              <w:ind w:left="0" w:leftChars="0" w:right="0" w:rightChars="0" w:firstLine="0" w:firstLineChars="0"/>
              <w:jc w:val="center"/>
              <w:rPr>
                <w:rFonts w:hint="eastAsia" w:ascii="仿宋" w:hAnsi="仿宋" w:eastAsia="仿宋"/>
                <w:color w:val="000000" w:themeColor="text1"/>
                <w:szCs w:val="28"/>
                <w:lang w:val="en-US" w:eastAsia="zh-CN"/>
              </w:rPr>
            </w:pPr>
            <w:r>
              <w:rPr>
                <w:rFonts w:hint="eastAsia" w:ascii="仿宋" w:hAnsi="仿宋" w:eastAsia="仿宋"/>
                <w:color w:val="000000" w:themeColor="text1"/>
                <w:szCs w:val="28"/>
                <w:lang w:val="en-US" w:eastAsia="zh-CN"/>
              </w:rPr>
              <w:t>18879606962</w:t>
            </w:r>
          </w:p>
        </w:tc>
        <w:tc>
          <w:tcPr>
            <w:tcW w:w="2775" w:type="dxa"/>
            <w:vAlign w:val="center"/>
          </w:tcPr>
          <w:p>
            <w:pPr>
              <w:snapToGrid w:val="0"/>
              <w:ind w:left="0" w:leftChars="0" w:right="0" w:rightChars="0" w:firstLine="0" w:firstLineChars="0"/>
              <w:jc w:val="center"/>
              <w:rPr>
                <w:rFonts w:ascii="仿宋" w:hAnsi="仿宋" w:eastAsia="仿宋"/>
                <w:color w:val="000000" w:themeColor="text1"/>
                <w:szCs w:val="28"/>
              </w:rPr>
            </w:pPr>
          </w:p>
        </w:tc>
      </w:tr>
    </w:tbl>
    <w:p>
      <w:pPr>
        <w:snapToGrid w:val="0"/>
        <w:ind w:left="0" w:leftChars="0" w:right="280" w:firstLine="0" w:firstLineChars="0"/>
        <w:rPr>
          <w:rFonts w:ascii="仿宋" w:hAnsi="仿宋" w:eastAsia="仿宋"/>
          <w:szCs w:val="28"/>
        </w:rPr>
        <w:sectPr>
          <w:pgSz w:w="11906" w:h="16838"/>
          <w:pgMar w:top="1440" w:right="1276" w:bottom="1440" w:left="1417" w:header="851" w:footer="992" w:gutter="0"/>
          <w:cols w:space="0" w:num="1"/>
          <w:rtlGutter w:val="0"/>
          <w:docGrid w:type="lines" w:linePitch="383" w:charSpace="0"/>
        </w:sectPr>
      </w:pPr>
    </w:p>
    <w:p>
      <w:pPr>
        <w:snapToGrid w:val="0"/>
        <w:spacing w:before="191" w:beforeLines="50" w:after="191" w:afterLines="50" w:line="360" w:lineRule="auto"/>
        <w:ind w:left="0" w:leftChars="0" w:right="280" w:firstLine="0" w:firstLineChars="0"/>
        <w:jc w:val="center"/>
        <w:rPr>
          <w:rFonts w:ascii="仿宋" w:hAnsi="仿宋" w:eastAsia="仿宋"/>
          <w:color w:val="000000" w:themeColor="text1"/>
          <w:szCs w:val="28"/>
        </w:rPr>
      </w:pPr>
      <w:r>
        <w:rPr>
          <w:rFonts w:hint="eastAsia" w:ascii="仿宋" w:hAnsi="仿宋" w:eastAsia="仿宋"/>
          <w:color w:val="000000" w:themeColor="text1"/>
          <w:szCs w:val="28"/>
        </w:rPr>
        <w:t>附件五应急救援组织名单</w:t>
      </w:r>
    </w:p>
    <w:p>
      <w:pPr>
        <w:pStyle w:val="4"/>
        <w:ind w:firstLine="560"/>
        <w:rPr>
          <w:rFonts w:ascii="仿宋" w:hAnsi="仿宋" w:eastAsia="仿宋"/>
          <w:color w:val="000000" w:themeColor="text1"/>
        </w:rPr>
      </w:pPr>
      <w:r>
        <w:rPr>
          <w:rFonts w:ascii="仿宋" w:hAnsi="仿宋" w:eastAsia="仿宋"/>
          <w:color w:val="000000" w:themeColor="text1"/>
        </w:rPr>
        <w:t>指挥部组成人员如下：</w:t>
      </w:r>
    </w:p>
    <w:p>
      <w:pPr>
        <w:pStyle w:val="4"/>
        <w:ind w:firstLine="560"/>
        <w:rPr>
          <w:rFonts w:hint="eastAsia" w:ascii="仿宋" w:hAnsi="仿宋" w:eastAsia="仿宋"/>
          <w:color w:val="000000" w:themeColor="text1"/>
          <w:lang w:eastAsia="zh-CN"/>
        </w:rPr>
      </w:pPr>
      <w:r>
        <w:rPr>
          <w:rFonts w:ascii="仿宋" w:hAnsi="仿宋" w:eastAsia="仿宋"/>
          <w:color w:val="000000" w:themeColor="text1"/>
        </w:rPr>
        <w:t>总指挥：</w:t>
      </w:r>
      <w:r>
        <w:rPr>
          <w:rFonts w:hint="eastAsia" w:ascii="仿宋" w:hAnsi="仿宋" w:eastAsia="仿宋"/>
          <w:color w:val="000000" w:themeColor="text1"/>
          <w:lang w:eastAsia="zh-CN"/>
        </w:rPr>
        <w:t>邓许生</w:t>
      </w:r>
    </w:p>
    <w:p>
      <w:pPr>
        <w:pStyle w:val="4"/>
        <w:ind w:firstLine="560"/>
        <w:rPr>
          <w:rFonts w:hint="eastAsia" w:ascii="仿宋" w:hAnsi="仿宋" w:eastAsia="仿宋"/>
          <w:color w:val="000000" w:themeColor="text1"/>
          <w:lang w:eastAsia="zh-CN"/>
        </w:rPr>
      </w:pPr>
      <w:r>
        <w:rPr>
          <w:rFonts w:ascii="仿宋" w:hAnsi="仿宋" w:eastAsia="仿宋"/>
          <w:color w:val="000000" w:themeColor="text1"/>
        </w:rPr>
        <w:t>副总指挥：</w:t>
      </w:r>
      <w:r>
        <w:rPr>
          <w:rFonts w:hint="eastAsia" w:ascii="仿宋" w:hAnsi="仿宋" w:eastAsia="仿宋"/>
          <w:color w:val="000000" w:themeColor="text1"/>
          <w:lang w:eastAsia="zh-CN"/>
        </w:rPr>
        <w:t>黄少华、邓六生</w:t>
      </w:r>
    </w:p>
    <w:p>
      <w:pPr>
        <w:pStyle w:val="4"/>
        <w:ind w:firstLine="560"/>
        <w:rPr>
          <w:rFonts w:hint="eastAsia" w:ascii="仿宋" w:hAnsi="仿宋" w:eastAsia="仿宋"/>
          <w:color w:val="000000" w:themeColor="text1"/>
          <w:lang w:eastAsia="zh-CN"/>
        </w:rPr>
      </w:pPr>
      <w:r>
        <w:rPr>
          <w:rFonts w:hint="eastAsia" w:ascii="仿宋" w:hAnsi="仿宋" w:eastAsia="仿宋"/>
          <w:color w:val="000000" w:themeColor="text1"/>
          <w:lang w:eastAsia="zh-CN"/>
        </w:rPr>
        <w:t>现场保卫</w:t>
      </w:r>
      <w:r>
        <w:rPr>
          <w:rFonts w:hint="eastAsia" w:ascii="仿宋" w:hAnsi="仿宋" w:eastAsia="仿宋"/>
          <w:color w:val="000000" w:themeColor="text1"/>
        </w:rPr>
        <w:t>组：</w:t>
      </w:r>
      <w:r>
        <w:rPr>
          <w:rFonts w:hint="eastAsia" w:ascii="仿宋" w:hAnsi="仿宋" w:eastAsia="仿宋"/>
          <w:color w:val="000000" w:themeColor="text1"/>
          <w:lang w:eastAsia="zh-CN"/>
        </w:rPr>
        <w:t>艾跃雄、廖新红、周小兰</w:t>
      </w:r>
    </w:p>
    <w:p>
      <w:pPr>
        <w:pStyle w:val="4"/>
        <w:ind w:firstLine="560"/>
        <w:rPr>
          <w:rFonts w:hint="eastAsia" w:ascii="仿宋" w:hAnsi="仿宋" w:eastAsia="仿宋"/>
          <w:color w:val="000000" w:themeColor="text1"/>
          <w:lang w:eastAsia="zh-CN"/>
        </w:rPr>
      </w:pPr>
      <w:r>
        <w:rPr>
          <w:rFonts w:hint="eastAsia" w:ascii="仿宋" w:hAnsi="仿宋" w:eastAsia="仿宋"/>
          <w:color w:val="000000" w:themeColor="text1"/>
          <w:lang w:eastAsia="zh-CN"/>
        </w:rPr>
        <w:t>后勤保障</w:t>
      </w:r>
      <w:r>
        <w:rPr>
          <w:rFonts w:hint="eastAsia" w:ascii="仿宋" w:hAnsi="仿宋" w:eastAsia="仿宋"/>
          <w:color w:val="000000" w:themeColor="text1"/>
        </w:rPr>
        <w:t>组：</w:t>
      </w:r>
      <w:r>
        <w:rPr>
          <w:rFonts w:hint="eastAsia" w:ascii="仿宋" w:hAnsi="仿宋" w:eastAsia="仿宋"/>
          <w:color w:val="000000" w:themeColor="text1"/>
          <w:lang w:eastAsia="zh-CN"/>
        </w:rPr>
        <w:t>戈菊兰、邓亮群、聂美艳</w:t>
      </w:r>
    </w:p>
    <w:p>
      <w:pPr>
        <w:pStyle w:val="4"/>
        <w:ind w:firstLine="560"/>
        <w:rPr>
          <w:rFonts w:hint="eastAsia" w:ascii="仿宋" w:hAnsi="仿宋" w:eastAsia="仿宋"/>
          <w:color w:val="000000" w:themeColor="text1"/>
          <w:lang w:eastAsia="zh-CN"/>
        </w:rPr>
      </w:pPr>
      <w:r>
        <w:rPr>
          <w:rFonts w:hint="eastAsia" w:ascii="仿宋" w:hAnsi="仿宋" w:eastAsia="仿宋"/>
          <w:color w:val="000000" w:themeColor="text1"/>
          <w:lang w:eastAsia="zh-CN"/>
        </w:rPr>
        <w:t>应急</w:t>
      </w:r>
      <w:r>
        <w:rPr>
          <w:rFonts w:hint="eastAsia" w:ascii="仿宋" w:hAnsi="仿宋" w:eastAsia="仿宋"/>
          <w:color w:val="000000" w:themeColor="text1"/>
        </w:rPr>
        <w:t>抢险组：</w:t>
      </w:r>
      <w:r>
        <w:rPr>
          <w:rFonts w:hint="eastAsia" w:ascii="仿宋" w:hAnsi="仿宋" w:eastAsia="仿宋"/>
          <w:color w:val="000000" w:themeColor="text1"/>
          <w:lang w:eastAsia="zh-CN"/>
        </w:rPr>
        <w:t>黄少华、邓六生、邹新根、邓水仔、</w:t>
      </w:r>
    </w:p>
    <w:p>
      <w:pPr>
        <w:pStyle w:val="4"/>
        <w:ind w:firstLine="2240" w:firstLineChars="800"/>
        <w:rPr>
          <w:rFonts w:hint="eastAsia" w:ascii="仿宋" w:hAnsi="仿宋" w:eastAsia="仿宋"/>
          <w:color w:val="000000" w:themeColor="text1"/>
          <w:lang w:eastAsia="zh-CN"/>
        </w:rPr>
      </w:pPr>
      <w:r>
        <w:rPr>
          <w:rFonts w:hint="eastAsia" w:ascii="仿宋" w:hAnsi="仿宋" w:eastAsia="仿宋"/>
          <w:color w:val="000000" w:themeColor="text1"/>
          <w:lang w:eastAsia="zh-CN"/>
        </w:rPr>
        <w:t>皮林如、陈雄文、吴飞云</w:t>
      </w: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lang w:eastAsia="zh-CN"/>
        </w:rPr>
      </w:pPr>
    </w:p>
    <w:p>
      <w:pPr>
        <w:pStyle w:val="4"/>
        <w:ind w:firstLine="2240" w:firstLineChars="800"/>
        <w:rPr>
          <w:rFonts w:hint="eastAsia" w:ascii="仿宋" w:hAnsi="仿宋" w:eastAsia="仿宋"/>
          <w:color w:val="000000" w:themeColor="text1"/>
          <w:vertAlign w:val="baseline"/>
          <w:lang w:val="en-US" w:eastAsia="zh-CN"/>
        </w:rPr>
      </w:pPr>
      <w:r>
        <w:rPr>
          <w:rFonts w:hint="eastAsia" w:ascii="仿宋" w:hAnsi="仿宋" w:eastAsia="仿宋"/>
          <w:color w:val="000000" w:themeColor="text1"/>
          <w:lang w:eastAsia="zh-CN"/>
        </w:rPr>
        <w:t>附件六</w:t>
      </w:r>
      <w:r>
        <w:rPr>
          <w:rFonts w:hint="eastAsia" w:ascii="仿宋" w:hAnsi="仿宋" w:eastAsia="仿宋"/>
          <w:color w:val="000000" w:themeColor="text1"/>
          <w:lang w:val="en-US" w:eastAsia="zh-CN"/>
        </w:rPr>
        <w:t xml:space="preserve">    外部应急联系电话</w:t>
      </w:r>
    </w:p>
    <w:tbl>
      <w:tblPr>
        <w:tblStyle w:val="40"/>
        <w:tblW w:w="9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9"/>
        <w:gridCol w:w="1957"/>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pStyle w:val="4"/>
              <w:jc w:val="center"/>
              <w:rPr>
                <w:rFonts w:hint="eastAsia" w:ascii="仿宋" w:hAnsi="仿宋" w:eastAsia="仿宋"/>
                <w:b/>
                <w:bCs/>
                <w:color w:val="000000" w:themeColor="text1"/>
                <w:sz w:val="28"/>
                <w:szCs w:val="28"/>
                <w:vertAlign w:val="baseline"/>
                <w:lang w:val="en-US" w:eastAsia="zh-CN"/>
              </w:rPr>
            </w:pPr>
            <w:r>
              <w:rPr>
                <w:rFonts w:hint="eastAsia" w:ascii="仿宋" w:hAnsi="仿宋" w:eastAsia="仿宋"/>
                <w:b/>
                <w:bCs/>
                <w:color w:val="000000" w:themeColor="text1"/>
                <w:sz w:val="28"/>
                <w:szCs w:val="28"/>
                <w:vertAlign w:val="baseline"/>
                <w:lang w:val="en-US" w:eastAsia="zh-CN"/>
              </w:rPr>
              <w:t>单位</w:t>
            </w:r>
          </w:p>
        </w:tc>
        <w:tc>
          <w:tcPr>
            <w:tcW w:w="1957" w:type="dxa"/>
          </w:tcPr>
          <w:p>
            <w:pPr>
              <w:pStyle w:val="4"/>
              <w:ind w:left="0" w:leftChars="0" w:firstLine="0" w:firstLineChars="0"/>
              <w:jc w:val="left"/>
              <w:rPr>
                <w:rFonts w:hint="eastAsia" w:ascii="仿宋" w:hAnsi="仿宋" w:eastAsia="仿宋"/>
                <w:b/>
                <w:bCs/>
                <w:color w:val="000000" w:themeColor="text1"/>
                <w:sz w:val="28"/>
                <w:szCs w:val="28"/>
                <w:vertAlign w:val="baseline"/>
                <w:lang w:val="en-US" w:eastAsia="zh-CN"/>
              </w:rPr>
            </w:pPr>
            <w:r>
              <w:rPr>
                <w:rFonts w:hint="eastAsia" w:ascii="仿宋" w:hAnsi="仿宋" w:eastAsia="仿宋"/>
                <w:b/>
                <w:bCs/>
                <w:color w:val="000000" w:themeColor="text1"/>
                <w:sz w:val="28"/>
                <w:szCs w:val="28"/>
                <w:vertAlign w:val="baseline"/>
                <w:lang w:val="en-US" w:eastAsia="zh-CN"/>
              </w:rPr>
              <w:t>姓名与职务</w:t>
            </w:r>
          </w:p>
        </w:tc>
        <w:tc>
          <w:tcPr>
            <w:tcW w:w="3143" w:type="dxa"/>
          </w:tcPr>
          <w:p>
            <w:pPr>
              <w:pStyle w:val="4"/>
              <w:jc w:val="left"/>
              <w:rPr>
                <w:rFonts w:hint="eastAsia" w:ascii="仿宋" w:hAnsi="仿宋" w:eastAsia="仿宋"/>
                <w:b/>
                <w:bCs/>
                <w:color w:val="000000" w:themeColor="text1"/>
                <w:sz w:val="28"/>
                <w:szCs w:val="28"/>
                <w:vertAlign w:val="baseline"/>
                <w:lang w:val="en-US" w:eastAsia="zh-CN"/>
              </w:rPr>
            </w:pPr>
            <w:r>
              <w:rPr>
                <w:rFonts w:hint="eastAsia" w:ascii="仿宋" w:hAnsi="仿宋" w:eastAsia="仿宋"/>
                <w:b/>
                <w:bCs/>
                <w:color w:val="000000" w:themeColor="text1"/>
                <w:sz w:val="28"/>
                <w:szCs w:val="28"/>
                <w:vertAlign w:val="baseline"/>
                <w:lang w:val="en-US" w:eastAsia="zh-CN"/>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pStyle w:val="4"/>
              <w:ind w:left="0" w:leftChars="0" w:firstLine="0" w:firstLineChars="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新干县新三元医药化工有限公司</w:t>
            </w:r>
          </w:p>
        </w:tc>
        <w:tc>
          <w:tcPr>
            <w:tcW w:w="1957"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葛总</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13576851888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pStyle w:val="4"/>
              <w:ind w:left="0" w:leftChars="0" w:firstLine="0" w:firstLineChars="0"/>
              <w:jc w:val="both"/>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江西鑫淦三磷化工有限公司</w:t>
            </w:r>
          </w:p>
        </w:tc>
        <w:tc>
          <w:tcPr>
            <w:tcW w:w="1957"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聂总</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13707065646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pStyle w:val="4"/>
              <w:ind w:left="0" w:leftChars="0" w:firstLine="0" w:firstLineChars="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江西鸿业化工有限公司</w:t>
            </w:r>
          </w:p>
        </w:tc>
        <w:tc>
          <w:tcPr>
            <w:tcW w:w="1957"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张总</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15727619533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pStyle w:val="4"/>
              <w:ind w:left="0" w:leftChars="0" w:firstLine="0" w:firstLineChars="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吉安市中意陶瓷化工有限公司</w:t>
            </w:r>
          </w:p>
        </w:tc>
        <w:tc>
          <w:tcPr>
            <w:tcW w:w="1957"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李总</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18279631875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tcPr>
          <w:p>
            <w:pPr>
              <w:pStyle w:val="4"/>
              <w:jc w:val="center"/>
              <w:rPr>
                <w:rFonts w:hint="eastAsia" w:ascii="仿宋" w:hAnsi="仿宋" w:eastAsia="仿宋"/>
                <w:b/>
                <w:bCs/>
                <w:color w:val="000000" w:themeColor="text1"/>
                <w:sz w:val="28"/>
                <w:szCs w:val="28"/>
                <w:vertAlign w:val="baseline"/>
                <w:lang w:val="en-US" w:eastAsia="zh-CN"/>
              </w:rPr>
            </w:pPr>
            <w:r>
              <w:rPr>
                <w:rFonts w:hint="eastAsia" w:ascii="仿宋" w:hAnsi="仿宋" w:eastAsia="仿宋"/>
                <w:b/>
                <w:bCs/>
                <w:color w:val="000000" w:themeColor="text1"/>
                <w:sz w:val="28"/>
                <w:szCs w:val="28"/>
                <w:vertAlign w:val="baseline"/>
                <w:lang w:val="en-US" w:eastAsia="zh-CN"/>
              </w:rPr>
              <w:t>部门</w:t>
            </w:r>
          </w:p>
        </w:tc>
        <w:tc>
          <w:tcPr>
            <w:tcW w:w="3143" w:type="dxa"/>
          </w:tcPr>
          <w:p>
            <w:pPr>
              <w:pStyle w:val="4"/>
              <w:rPr>
                <w:rFonts w:hint="eastAsia" w:ascii="仿宋" w:hAnsi="仿宋" w:eastAsia="仿宋"/>
                <w:b/>
                <w:bCs/>
                <w:color w:val="000000" w:themeColor="text1"/>
                <w:sz w:val="28"/>
                <w:szCs w:val="28"/>
                <w:vertAlign w:val="baseline"/>
                <w:lang w:val="en-US" w:eastAsia="zh-CN"/>
              </w:rPr>
            </w:pPr>
            <w:r>
              <w:rPr>
                <w:rFonts w:hint="eastAsia" w:ascii="仿宋" w:hAnsi="仿宋" w:eastAsia="仿宋"/>
                <w:b/>
                <w:bCs/>
                <w:color w:val="000000" w:themeColor="text1"/>
                <w:sz w:val="28"/>
                <w:szCs w:val="28"/>
                <w:vertAlign w:val="baseline"/>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急救、公安、消防、交通事故紧急呼叫号码</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120、110、119、122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江西省安全生产监督管理局应急值班电话</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0791-85257110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吉安人民政府应急办值班电话</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0796-8235526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吉安市生产安全事故应急救援指挥部办公室</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0796-8239579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新干县人民政府值班电话</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0796-2683089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吉安市安全生产监督管理局危化科</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0796-8235130</w:t>
            </w:r>
          </w:p>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18770478757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新干县安全生产监督管理局应急值班电话</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0796-2607697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吉安市环境保护局</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新干县环境保护局值班电话</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0796-2610699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吉安市职业病防治中心</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0796-8222666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吉安市中心人民医院</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0796-120-2</w:t>
            </w:r>
          </w:p>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0796-8216000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新干县人民医院</w:t>
            </w:r>
          </w:p>
        </w:tc>
        <w:tc>
          <w:tcPr>
            <w:tcW w:w="3143" w:type="dxa"/>
          </w:tcPr>
          <w:p>
            <w:pPr>
              <w:pStyle w:val="4"/>
              <w:ind w:left="0" w:leftChars="0" w:firstLine="0" w:firstLineChars="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13707961896李建成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工业园管委会应急值班电话</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0796-2681519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新干县公安局大洋洲派出所</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0796-2781228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6" w:type="dxa"/>
            <w:gridSpan w:val="2"/>
            <w:vAlign w:val="top"/>
          </w:tcPr>
          <w:p>
            <w:pPr>
              <w:pStyle w:val="4"/>
              <w:ind w:left="0" w:leftChars="0" w:right="0" w:rightChars="0" w:firstLine="560" w:firstLineChars="200"/>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新干县消防大队</w:t>
            </w:r>
          </w:p>
        </w:tc>
        <w:tc>
          <w:tcPr>
            <w:tcW w:w="3143" w:type="dxa"/>
          </w:tcPr>
          <w:p>
            <w:pPr>
              <w:pStyle w:val="4"/>
              <w:rPr>
                <w:rFonts w:hint="eastAsia" w:ascii="仿宋" w:hAnsi="仿宋" w:eastAsia="仿宋"/>
                <w:color w:val="000000" w:themeColor="text1"/>
                <w:sz w:val="28"/>
                <w:szCs w:val="28"/>
                <w:vertAlign w:val="baseline"/>
                <w:lang w:val="en-US" w:eastAsia="zh-CN"/>
              </w:rPr>
            </w:pPr>
            <w:r>
              <w:rPr>
                <w:rFonts w:hint="eastAsia" w:ascii="仿宋" w:hAnsi="仿宋" w:eastAsia="仿宋"/>
                <w:color w:val="000000" w:themeColor="text1"/>
                <w:sz w:val="28"/>
                <w:szCs w:val="28"/>
                <w:vertAlign w:val="baseline"/>
                <w:lang w:val="en-US" w:eastAsia="zh-CN"/>
              </w:rPr>
              <w:t>13879654488许磊</w:t>
            </w:r>
          </w:p>
        </w:tc>
      </w:tr>
    </w:tbl>
    <w:p>
      <w:pPr>
        <w:pStyle w:val="4"/>
        <w:ind w:firstLine="2240" w:firstLineChars="800"/>
        <w:rPr>
          <w:rFonts w:hint="eastAsia" w:ascii="仿宋" w:hAnsi="仿宋" w:eastAsia="仿宋"/>
          <w:color w:val="000000" w:themeColor="text1"/>
          <w:lang w:val="en-US" w:eastAsia="zh-CN"/>
        </w:rPr>
      </w:pPr>
    </w:p>
    <w:p>
      <w:pPr>
        <w:pStyle w:val="4"/>
        <w:ind w:firstLine="2240" w:firstLineChars="800"/>
        <w:rPr>
          <w:rFonts w:hint="eastAsia" w:ascii="仿宋" w:hAnsi="仿宋" w:eastAsia="仿宋"/>
          <w:color w:val="000000" w:themeColor="text1"/>
          <w:lang w:eastAsia="zh-CN"/>
        </w:rPr>
        <w:sectPr>
          <w:pgSz w:w="11906" w:h="16838"/>
          <w:pgMar w:top="1440" w:right="1276" w:bottom="1440" w:left="1417" w:header="851" w:footer="992" w:gutter="0"/>
          <w:cols w:space="0" w:num="1"/>
          <w:rtlGutter w:val="0"/>
          <w:docGrid w:type="lines" w:linePitch="383" w:charSpace="0"/>
        </w:sectPr>
      </w:pPr>
    </w:p>
    <w:p>
      <w:pPr>
        <w:snapToGrid w:val="0"/>
        <w:spacing w:before="191" w:beforeLines="50" w:after="191" w:afterLines="50"/>
        <w:ind w:left="0" w:leftChars="0" w:right="0" w:rightChars="0" w:firstLine="0" w:firstLineChars="0"/>
        <w:jc w:val="center"/>
        <w:rPr>
          <w:rFonts w:ascii="仿宋" w:hAnsi="仿宋" w:eastAsia="仿宋"/>
          <w:szCs w:val="28"/>
        </w:rPr>
      </w:pPr>
      <w:r>
        <w:rPr>
          <w:rFonts w:hint="eastAsia" w:ascii="仿宋" w:hAnsi="仿宋" w:eastAsia="仿宋"/>
          <w:szCs w:val="28"/>
          <w:lang w:eastAsia="zh-CN"/>
        </w:rPr>
        <w:t>江西省愚人纳米科技有限</w:t>
      </w:r>
      <w:r>
        <w:rPr>
          <w:rFonts w:hint="eastAsia" w:ascii="仿宋" w:hAnsi="仿宋" w:eastAsia="仿宋"/>
          <w:szCs w:val="28"/>
        </w:rPr>
        <w:t>公司危险废物意外事故应急组织机构和指挥体系图</w:t>
      </w:r>
    </w:p>
    <w:p>
      <w:pPr>
        <w:snapToGrid w:val="0"/>
        <w:ind w:left="0" w:leftChars="0" w:right="280" w:firstLine="0" w:firstLineChars="0"/>
        <w:jc w:val="center"/>
        <w:rPr>
          <w:rFonts w:ascii="仿宋" w:hAnsi="仿宋" w:eastAsia="仿宋"/>
          <w:szCs w:val="28"/>
        </w:rPr>
      </w:pPr>
      <w:r>
        <w:rPr>
          <w:rFonts w:hint="eastAsia" w:ascii="仿宋" w:hAnsi="仿宋" w:eastAsia="仿宋"/>
          <w:szCs w:val="28"/>
        </w:rPr>
        <w:object>
          <v:shape id="_x0000_i1026" o:spt="75" type="#_x0000_t75" style="height:377.25pt;width:675pt;" o:ole="t" filled="f" o:preferrelative="t" stroked="f" coordsize="21600,21600">
            <v:path/>
            <v:fill on="f" focussize="0,0"/>
            <v:stroke on="f" joinstyle="miter"/>
            <v:imagedata r:id="rId23" cropleft="16819f" croptop="15543f" cropright="30033f" cropbottom="14155f" o:title=""/>
            <o:lock v:ext="edit" aspectratio="f"/>
            <w10:wrap type="none"/>
            <w10:anchorlock/>
          </v:shape>
          <o:OLEObject Type="Embed" ProgID="AutoCAD.Drawing.18" ShapeID="_x0000_i1026" DrawAspect="Content" ObjectID="_1468075726" r:id="rId22">
            <o:LockedField>false</o:LockedField>
          </o:OLEObject>
        </w:object>
      </w:r>
    </w:p>
    <w:p>
      <w:pPr>
        <w:snapToGrid w:val="0"/>
        <w:ind w:left="0" w:leftChars="0" w:right="280" w:firstLine="0" w:firstLineChars="0"/>
        <w:jc w:val="center"/>
        <w:rPr>
          <w:rFonts w:ascii="仿宋" w:hAnsi="仿宋" w:eastAsia="仿宋"/>
          <w:szCs w:val="28"/>
        </w:rPr>
      </w:pPr>
      <w:r>
        <w:rPr>
          <w:rFonts w:hint="eastAsia" w:ascii="仿宋" w:hAnsi="仿宋" w:eastAsia="仿宋"/>
          <w:szCs w:val="28"/>
        </w:rPr>
        <w:t>附件</w:t>
      </w:r>
      <w:r>
        <w:rPr>
          <w:rFonts w:hint="eastAsia" w:ascii="仿宋" w:hAnsi="仿宋" w:eastAsia="仿宋"/>
          <w:szCs w:val="28"/>
          <w:lang w:eastAsia="zh-CN"/>
        </w:rPr>
        <w:t>七</w:t>
      </w:r>
      <w:r>
        <w:rPr>
          <w:rFonts w:hint="eastAsia" w:ascii="仿宋" w:hAnsi="仿宋" w:eastAsia="仿宋"/>
          <w:szCs w:val="28"/>
        </w:rPr>
        <w:t xml:space="preserve">  突发环境事件应急组织机构和指挥体系图</w:t>
      </w:r>
    </w:p>
    <w:sectPr>
      <w:pgSz w:w="16838" w:h="11906" w:orient="landscape"/>
      <w:pgMar w:top="1417" w:right="1440" w:bottom="1276" w:left="1440" w:header="851" w:footer="992" w:gutter="0"/>
      <w:cols w:space="0" w:num="1"/>
      <w:rtlGutter w:val="0"/>
      <w:docGrid w:type="lines" w:linePitch="38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Tms Rmn">
    <w:altName w:val="Times New Roman"/>
    <w:panose1 w:val="02020603040505020304"/>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华文仿宋">
    <w:altName w:val="仿宋_GB2312"/>
    <w:panose1 w:val="02010600040101010101"/>
    <w:charset w:val="86"/>
    <w:family w:val="auto"/>
    <w:pitch w:val="default"/>
    <w:sig w:usb0="00000000" w:usb1="00000000" w:usb2="00000010" w:usb3="00000000" w:csb0="0004009F" w:csb1="00000000"/>
  </w:font>
  <w:font w:name="仿宋">
    <w:altName w:val="宋体"/>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left="280" w:right="280" w:firstLine="360"/>
      <w:rPr>
        <w:rStyle w:val="34"/>
      </w:rPr>
    </w:pPr>
    <w:r>
      <w:rPr>
        <w:rStyle w:val="34"/>
      </w:rPr>
      <w:fldChar w:fldCharType="begin"/>
    </w:r>
    <w:r>
      <w:rPr>
        <w:rStyle w:val="34"/>
      </w:rPr>
      <w:instrText xml:space="preserve">PAGE  </w:instrText>
    </w:r>
    <w:r>
      <w:rPr>
        <w:rStyle w:val="34"/>
      </w:rPr>
      <w:fldChar w:fldCharType="separate"/>
    </w:r>
    <w:r>
      <w:rPr>
        <w:rStyle w:val="34"/>
      </w:rPr>
      <w:t>iii</w:t>
    </w:r>
    <w:r>
      <w:rPr>
        <w:rStyle w:val="34"/>
      </w:rPr>
      <w:fldChar w:fldCharType="end"/>
    </w:r>
  </w:p>
  <w:p>
    <w:pPr>
      <w:pStyle w:val="21"/>
      <w:ind w:left="280" w:right="28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left="280" w:right="280" w:firstLine="360"/>
      <w:rPr>
        <w:rStyle w:val="34"/>
      </w:rPr>
    </w:pPr>
    <w:r>
      <w:rPr>
        <w:rStyle w:val="34"/>
      </w:rPr>
      <w:fldChar w:fldCharType="begin"/>
    </w:r>
    <w:r>
      <w:rPr>
        <w:rStyle w:val="34"/>
      </w:rPr>
      <w:instrText xml:space="preserve">PAGE  </w:instrText>
    </w:r>
    <w:r>
      <w:rPr>
        <w:rStyle w:val="34"/>
      </w:rPr>
      <w:fldChar w:fldCharType="separate"/>
    </w:r>
    <w:r>
      <w:rPr>
        <w:rStyle w:val="34"/>
      </w:rPr>
      <w:t>21</w:t>
    </w:r>
    <w:r>
      <w:rPr>
        <w:rStyle w:val="34"/>
      </w:rPr>
      <w:fldChar w:fldCharType="end"/>
    </w:r>
  </w:p>
  <w:p>
    <w:pPr>
      <w:pStyle w:val="21"/>
      <w:ind w:left="280" w:right="28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left="280" w:right="280" w:firstLine="360"/>
      <w:rPr>
        <w:rStyle w:val="34"/>
      </w:rPr>
    </w:pPr>
    <w:r>
      <w:rPr>
        <w:rStyle w:val="34"/>
      </w:rPr>
      <w:fldChar w:fldCharType="begin"/>
    </w:r>
    <w:r>
      <w:rPr>
        <w:rStyle w:val="34"/>
      </w:rPr>
      <w:instrText xml:space="preserve">PAGE  </w:instrText>
    </w:r>
    <w:r>
      <w:rPr>
        <w:rStyle w:val="34"/>
      </w:rPr>
      <w:fldChar w:fldCharType="separate"/>
    </w:r>
    <w:r>
      <w:rPr>
        <w:rStyle w:val="34"/>
      </w:rPr>
      <w:t>63</w:t>
    </w:r>
    <w:r>
      <w:rPr>
        <w:rStyle w:val="34"/>
      </w:rPr>
      <w:fldChar w:fldCharType="end"/>
    </w:r>
  </w:p>
  <w:p>
    <w:pPr>
      <w:ind w:left="280" w:right="280" w:firstLine="560"/>
    </w:pPr>
  </w:p>
  <w:p>
    <w:pPr>
      <w:ind w:left="280" w:right="280"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ind w:left="280" w:right="280" w:firstLine="560"/>
      <w:rPr>
        <w:rStyle w:val="37"/>
      </w:rPr>
    </w:pPr>
    <w:r>
      <w:rPr>
        <w:rStyle w:val="37"/>
      </w:rPr>
      <w:fldChar w:fldCharType="begin"/>
    </w:r>
    <w:r>
      <w:rPr>
        <w:rStyle w:val="37"/>
      </w:rPr>
      <w:instrText xml:space="preserve">PAGE  </w:instrText>
    </w:r>
    <w:r>
      <w:rPr>
        <w:rStyle w:val="37"/>
      </w:rPr>
      <w:fldChar w:fldCharType="end"/>
    </w:r>
  </w:p>
  <w:p>
    <w:pPr>
      <w:ind w:left="280" w:right="280" w:firstLine="560"/>
    </w:pPr>
  </w:p>
  <w:p>
    <w:pPr>
      <w:ind w:left="280" w:right="280"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left="280" w:right="280"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DFB053"/>
    <w:multiLevelType w:val="singleLevel"/>
    <w:tmpl w:val="C7DFB053"/>
    <w:lvl w:ilvl="0" w:tentative="0">
      <w:start w:val="1"/>
      <w:numFmt w:val="decimal"/>
      <w:suff w:val="nothing"/>
      <w:lvlText w:val="（%1）"/>
      <w:lvlJc w:val="left"/>
    </w:lvl>
  </w:abstractNum>
  <w:abstractNum w:abstractNumId="1">
    <w:nsid w:val="D0F44ABC"/>
    <w:multiLevelType w:val="singleLevel"/>
    <w:tmpl w:val="D0F44ABC"/>
    <w:lvl w:ilvl="0" w:tentative="0">
      <w:start w:val="1"/>
      <w:numFmt w:val="decimal"/>
      <w:suff w:val="space"/>
      <w:lvlText w:val="(%1)"/>
      <w:lvlJc w:val="left"/>
    </w:lvl>
  </w:abstractNum>
  <w:abstractNum w:abstractNumId="2">
    <w:nsid w:val="5A37808D"/>
    <w:multiLevelType w:val="singleLevel"/>
    <w:tmpl w:val="5A37808D"/>
    <w:lvl w:ilvl="0" w:tentative="0">
      <w:start w:val="2"/>
      <w:numFmt w:val="decimal"/>
      <w:suff w:val="nothing"/>
      <w:lvlText w:val="（%1）"/>
      <w:lvlJc w:val="left"/>
    </w:lvl>
  </w:abstractNum>
  <w:abstractNum w:abstractNumId="3">
    <w:nsid w:val="5A38830F"/>
    <w:multiLevelType w:val="singleLevel"/>
    <w:tmpl w:val="5A38830F"/>
    <w:lvl w:ilvl="0" w:tentative="0">
      <w:start w:val="4"/>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HorizontalSpacing w:val="14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02556"/>
    <w:rsid w:val="00000C12"/>
    <w:rsid w:val="00000F80"/>
    <w:rsid w:val="00001D48"/>
    <w:rsid w:val="00002912"/>
    <w:rsid w:val="00005117"/>
    <w:rsid w:val="0000525D"/>
    <w:rsid w:val="0000620D"/>
    <w:rsid w:val="00006D31"/>
    <w:rsid w:val="00006DBF"/>
    <w:rsid w:val="00007D8D"/>
    <w:rsid w:val="00010108"/>
    <w:rsid w:val="00010F39"/>
    <w:rsid w:val="000110FD"/>
    <w:rsid w:val="000112F6"/>
    <w:rsid w:val="0001167A"/>
    <w:rsid w:val="000118BC"/>
    <w:rsid w:val="00012706"/>
    <w:rsid w:val="00013E83"/>
    <w:rsid w:val="000153B8"/>
    <w:rsid w:val="00015E46"/>
    <w:rsid w:val="00016117"/>
    <w:rsid w:val="0001642E"/>
    <w:rsid w:val="00016604"/>
    <w:rsid w:val="00021EBC"/>
    <w:rsid w:val="000224BA"/>
    <w:rsid w:val="00022914"/>
    <w:rsid w:val="000234E4"/>
    <w:rsid w:val="00024518"/>
    <w:rsid w:val="00024A20"/>
    <w:rsid w:val="00024ADF"/>
    <w:rsid w:val="000259F7"/>
    <w:rsid w:val="00025A2E"/>
    <w:rsid w:val="00026A4C"/>
    <w:rsid w:val="0002764A"/>
    <w:rsid w:val="00027EBF"/>
    <w:rsid w:val="00031286"/>
    <w:rsid w:val="00031CCD"/>
    <w:rsid w:val="0003205F"/>
    <w:rsid w:val="0003218A"/>
    <w:rsid w:val="0003242E"/>
    <w:rsid w:val="00033206"/>
    <w:rsid w:val="00034079"/>
    <w:rsid w:val="00034088"/>
    <w:rsid w:val="00034C10"/>
    <w:rsid w:val="000401A8"/>
    <w:rsid w:val="0004066E"/>
    <w:rsid w:val="00041FCA"/>
    <w:rsid w:val="00042361"/>
    <w:rsid w:val="00042905"/>
    <w:rsid w:val="00042AF1"/>
    <w:rsid w:val="00043265"/>
    <w:rsid w:val="00043492"/>
    <w:rsid w:val="00043A00"/>
    <w:rsid w:val="00043C91"/>
    <w:rsid w:val="00043FAB"/>
    <w:rsid w:val="00043FF2"/>
    <w:rsid w:val="000445AF"/>
    <w:rsid w:val="00044CB9"/>
    <w:rsid w:val="0004524E"/>
    <w:rsid w:val="000463BD"/>
    <w:rsid w:val="00046A3C"/>
    <w:rsid w:val="00047A16"/>
    <w:rsid w:val="00047AB5"/>
    <w:rsid w:val="00050D5A"/>
    <w:rsid w:val="00050F51"/>
    <w:rsid w:val="00050FB6"/>
    <w:rsid w:val="00051225"/>
    <w:rsid w:val="00051527"/>
    <w:rsid w:val="000518BF"/>
    <w:rsid w:val="00051F60"/>
    <w:rsid w:val="0005277A"/>
    <w:rsid w:val="00052E73"/>
    <w:rsid w:val="00052E81"/>
    <w:rsid w:val="000538C0"/>
    <w:rsid w:val="00053BBA"/>
    <w:rsid w:val="00054E4D"/>
    <w:rsid w:val="00055682"/>
    <w:rsid w:val="000558A0"/>
    <w:rsid w:val="00055B5E"/>
    <w:rsid w:val="0005681D"/>
    <w:rsid w:val="0006047E"/>
    <w:rsid w:val="000612C0"/>
    <w:rsid w:val="00062167"/>
    <w:rsid w:val="00062172"/>
    <w:rsid w:val="000622A2"/>
    <w:rsid w:val="00062581"/>
    <w:rsid w:val="000628F4"/>
    <w:rsid w:val="00062917"/>
    <w:rsid w:val="00062EAF"/>
    <w:rsid w:val="00062FA2"/>
    <w:rsid w:val="00063482"/>
    <w:rsid w:val="000635C0"/>
    <w:rsid w:val="0006369C"/>
    <w:rsid w:val="00063D87"/>
    <w:rsid w:val="00064ABF"/>
    <w:rsid w:val="00065864"/>
    <w:rsid w:val="00065DAF"/>
    <w:rsid w:val="0006759F"/>
    <w:rsid w:val="000679AF"/>
    <w:rsid w:val="00067C84"/>
    <w:rsid w:val="00067EA3"/>
    <w:rsid w:val="000700C4"/>
    <w:rsid w:val="00070B6F"/>
    <w:rsid w:val="00071C6A"/>
    <w:rsid w:val="00071D5F"/>
    <w:rsid w:val="000721DD"/>
    <w:rsid w:val="00072AA4"/>
    <w:rsid w:val="00072B8B"/>
    <w:rsid w:val="000732FC"/>
    <w:rsid w:val="0007382A"/>
    <w:rsid w:val="00073D42"/>
    <w:rsid w:val="0007400B"/>
    <w:rsid w:val="000744CA"/>
    <w:rsid w:val="00074C2B"/>
    <w:rsid w:val="00075F0F"/>
    <w:rsid w:val="000762EA"/>
    <w:rsid w:val="00076495"/>
    <w:rsid w:val="00076CBD"/>
    <w:rsid w:val="0007710C"/>
    <w:rsid w:val="0007723E"/>
    <w:rsid w:val="0007797E"/>
    <w:rsid w:val="00077DA4"/>
    <w:rsid w:val="00080E46"/>
    <w:rsid w:val="0008102E"/>
    <w:rsid w:val="000818DA"/>
    <w:rsid w:val="000829A2"/>
    <w:rsid w:val="000829B6"/>
    <w:rsid w:val="00083699"/>
    <w:rsid w:val="00083871"/>
    <w:rsid w:val="0008455C"/>
    <w:rsid w:val="0008589F"/>
    <w:rsid w:val="00085AE4"/>
    <w:rsid w:val="00086295"/>
    <w:rsid w:val="000866AF"/>
    <w:rsid w:val="000876E3"/>
    <w:rsid w:val="00087966"/>
    <w:rsid w:val="0009057C"/>
    <w:rsid w:val="0009091B"/>
    <w:rsid w:val="00090A45"/>
    <w:rsid w:val="00090A49"/>
    <w:rsid w:val="000917CA"/>
    <w:rsid w:val="000917EF"/>
    <w:rsid w:val="00091ADA"/>
    <w:rsid w:val="00091CFE"/>
    <w:rsid w:val="00091D8E"/>
    <w:rsid w:val="00091FD6"/>
    <w:rsid w:val="00092BF4"/>
    <w:rsid w:val="00092DC7"/>
    <w:rsid w:val="00093C5B"/>
    <w:rsid w:val="000945C7"/>
    <w:rsid w:val="00094942"/>
    <w:rsid w:val="00094F6F"/>
    <w:rsid w:val="000955F4"/>
    <w:rsid w:val="0009589A"/>
    <w:rsid w:val="0009605D"/>
    <w:rsid w:val="00096EDE"/>
    <w:rsid w:val="00097148"/>
    <w:rsid w:val="0009733F"/>
    <w:rsid w:val="000A020D"/>
    <w:rsid w:val="000A1B98"/>
    <w:rsid w:val="000A4433"/>
    <w:rsid w:val="000A464A"/>
    <w:rsid w:val="000A4A8B"/>
    <w:rsid w:val="000A58FB"/>
    <w:rsid w:val="000A5EBE"/>
    <w:rsid w:val="000A64DF"/>
    <w:rsid w:val="000A6D2A"/>
    <w:rsid w:val="000A720F"/>
    <w:rsid w:val="000A7EC4"/>
    <w:rsid w:val="000B01F0"/>
    <w:rsid w:val="000B03E5"/>
    <w:rsid w:val="000B065B"/>
    <w:rsid w:val="000B0E02"/>
    <w:rsid w:val="000B17D3"/>
    <w:rsid w:val="000B17E4"/>
    <w:rsid w:val="000B18F2"/>
    <w:rsid w:val="000B1931"/>
    <w:rsid w:val="000B1A8F"/>
    <w:rsid w:val="000B1EB2"/>
    <w:rsid w:val="000B2204"/>
    <w:rsid w:val="000B2626"/>
    <w:rsid w:val="000B30F4"/>
    <w:rsid w:val="000B32A9"/>
    <w:rsid w:val="000B3BDC"/>
    <w:rsid w:val="000B3C86"/>
    <w:rsid w:val="000B414E"/>
    <w:rsid w:val="000B4F02"/>
    <w:rsid w:val="000B51EC"/>
    <w:rsid w:val="000B6816"/>
    <w:rsid w:val="000B6DBE"/>
    <w:rsid w:val="000B7910"/>
    <w:rsid w:val="000C0244"/>
    <w:rsid w:val="000C05E7"/>
    <w:rsid w:val="000C0DF3"/>
    <w:rsid w:val="000C1528"/>
    <w:rsid w:val="000C19F2"/>
    <w:rsid w:val="000C1FA3"/>
    <w:rsid w:val="000C239A"/>
    <w:rsid w:val="000C257E"/>
    <w:rsid w:val="000C2953"/>
    <w:rsid w:val="000C4FE2"/>
    <w:rsid w:val="000C54D5"/>
    <w:rsid w:val="000C5D01"/>
    <w:rsid w:val="000C6498"/>
    <w:rsid w:val="000C6A83"/>
    <w:rsid w:val="000C6CD3"/>
    <w:rsid w:val="000C6FC4"/>
    <w:rsid w:val="000C7066"/>
    <w:rsid w:val="000C72BA"/>
    <w:rsid w:val="000D06BC"/>
    <w:rsid w:val="000D0A0B"/>
    <w:rsid w:val="000D0D22"/>
    <w:rsid w:val="000D190A"/>
    <w:rsid w:val="000D2634"/>
    <w:rsid w:val="000D2B6A"/>
    <w:rsid w:val="000D2F5E"/>
    <w:rsid w:val="000D3E3C"/>
    <w:rsid w:val="000D40F8"/>
    <w:rsid w:val="000D4ECF"/>
    <w:rsid w:val="000D4F0A"/>
    <w:rsid w:val="000D56D0"/>
    <w:rsid w:val="000D5887"/>
    <w:rsid w:val="000D7406"/>
    <w:rsid w:val="000D7845"/>
    <w:rsid w:val="000D7AE9"/>
    <w:rsid w:val="000D7C9E"/>
    <w:rsid w:val="000D7D57"/>
    <w:rsid w:val="000E02E0"/>
    <w:rsid w:val="000E0424"/>
    <w:rsid w:val="000E04B4"/>
    <w:rsid w:val="000E07CD"/>
    <w:rsid w:val="000E177B"/>
    <w:rsid w:val="000E1DA8"/>
    <w:rsid w:val="000E2724"/>
    <w:rsid w:val="000E2E54"/>
    <w:rsid w:val="000E4416"/>
    <w:rsid w:val="000E4498"/>
    <w:rsid w:val="000E4B10"/>
    <w:rsid w:val="000E4C6C"/>
    <w:rsid w:val="000E594B"/>
    <w:rsid w:val="000E7050"/>
    <w:rsid w:val="000E7F25"/>
    <w:rsid w:val="000F0ADF"/>
    <w:rsid w:val="000F0F89"/>
    <w:rsid w:val="000F11F4"/>
    <w:rsid w:val="000F18EE"/>
    <w:rsid w:val="000F1D88"/>
    <w:rsid w:val="000F46D4"/>
    <w:rsid w:val="000F65C1"/>
    <w:rsid w:val="00100110"/>
    <w:rsid w:val="00100294"/>
    <w:rsid w:val="001003CB"/>
    <w:rsid w:val="00101554"/>
    <w:rsid w:val="00101E07"/>
    <w:rsid w:val="00102556"/>
    <w:rsid w:val="0010287E"/>
    <w:rsid w:val="00102CFD"/>
    <w:rsid w:val="00102F7F"/>
    <w:rsid w:val="001036C9"/>
    <w:rsid w:val="00105285"/>
    <w:rsid w:val="001063C9"/>
    <w:rsid w:val="00107A98"/>
    <w:rsid w:val="00110749"/>
    <w:rsid w:val="00110B64"/>
    <w:rsid w:val="00110F8E"/>
    <w:rsid w:val="00111017"/>
    <w:rsid w:val="001119F6"/>
    <w:rsid w:val="001128DC"/>
    <w:rsid w:val="00112B61"/>
    <w:rsid w:val="00112B62"/>
    <w:rsid w:val="00113035"/>
    <w:rsid w:val="001132D5"/>
    <w:rsid w:val="001134EE"/>
    <w:rsid w:val="001138E4"/>
    <w:rsid w:val="00113DC3"/>
    <w:rsid w:val="00114543"/>
    <w:rsid w:val="00114EBE"/>
    <w:rsid w:val="00115508"/>
    <w:rsid w:val="00115931"/>
    <w:rsid w:val="00116D07"/>
    <w:rsid w:val="00116F71"/>
    <w:rsid w:val="0012119B"/>
    <w:rsid w:val="001217DB"/>
    <w:rsid w:val="00122488"/>
    <w:rsid w:val="00122A7D"/>
    <w:rsid w:val="00123D8B"/>
    <w:rsid w:val="0012437E"/>
    <w:rsid w:val="0012439B"/>
    <w:rsid w:val="00124C52"/>
    <w:rsid w:val="0012597A"/>
    <w:rsid w:val="00126BDF"/>
    <w:rsid w:val="001279F7"/>
    <w:rsid w:val="00127AF8"/>
    <w:rsid w:val="00130D52"/>
    <w:rsid w:val="0013206E"/>
    <w:rsid w:val="0013247B"/>
    <w:rsid w:val="001327A6"/>
    <w:rsid w:val="00132CF9"/>
    <w:rsid w:val="00132E7A"/>
    <w:rsid w:val="00133E76"/>
    <w:rsid w:val="001341BB"/>
    <w:rsid w:val="0013420C"/>
    <w:rsid w:val="00134FED"/>
    <w:rsid w:val="00136520"/>
    <w:rsid w:val="0013677F"/>
    <w:rsid w:val="001372D7"/>
    <w:rsid w:val="00142BFF"/>
    <w:rsid w:val="00143D3C"/>
    <w:rsid w:val="001448BA"/>
    <w:rsid w:val="00144A77"/>
    <w:rsid w:val="0014579A"/>
    <w:rsid w:val="00150160"/>
    <w:rsid w:val="0015021A"/>
    <w:rsid w:val="0015077D"/>
    <w:rsid w:val="00151D2B"/>
    <w:rsid w:val="00153C22"/>
    <w:rsid w:val="00154E19"/>
    <w:rsid w:val="00156E43"/>
    <w:rsid w:val="001571E5"/>
    <w:rsid w:val="001572AD"/>
    <w:rsid w:val="001576DC"/>
    <w:rsid w:val="00157788"/>
    <w:rsid w:val="00157A85"/>
    <w:rsid w:val="001601C4"/>
    <w:rsid w:val="00160C9A"/>
    <w:rsid w:val="0016146B"/>
    <w:rsid w:val="001636C4"/>
    <w:rsid w:val="0016371B"/>
    <w:rsid w:val="00164A82"/>
    <w:rsid w:val="00164B0E"/>
    <w:rsid w:val="00164ED5"/>
    <w:rsid w:val="00165180"/>
    <w:rsid w:val="00166AA3"/>
    <w:rsid w:val="00167484"/>
    <w:rsid w:val="001677E2"/>
    <w:rsid w:val="00167949"/>
    <w:rsid w:val="00167ACA"/>
    <w:rsid w:val="00170000"/>
    <w:rsid w:val="001702B9"/>
    <w:rsid w:val="001708F4"/>
    <w:rsid w:val="0017262C"/>
    <w:rsid w:val="00173566"/>
    <w:rsid w:val="001738A9"/>
    <w:rsid w:val="00174738"/>
    <w:rsid w:val="001748D1"/>
    <w:rsid w:val="001753EB"/>
    <w:rsid w:val="001762A6"/>
    <w:rsid w:val="0017675E"/>
    <w:rsid w:val="00177534"/>
    <w:rsid w:val="00177AF6"/>
    <w:rsid w:val="001806D3"/>
    <w:rsid w:val="00180D51"/>
    <w:rsid w:val="00183314"/>
    <w:rsid w:val="00183485"/>
    <w:rsid w:val="00184091"/>
    <w:rsid w:val="001841CD"/>
    <w:rsid w:val="001841D9"/>
    <w:rsid w:val="00184280"/>
    <w:rsid w:val="00184446"/>
    <w:rsid w:val="00184EE8"/>
    <w:rsid w:val="00186960"/>
    <w:rsid w:val="00187119"/>
    <w:rsid w:val="00187712"/>
    <w:rsid w:val="0019035B"/>
    <w:rsid w:val="00190897"/>
    <w:rsid w:val="001908E4"/>
    <w:rsid w:val="00190EF0"/>
    <w:rsid w:val="001911AE"/>
    <w:rsid w:val="00191A08"/>
    <w:rsid w:val="00191DAA"/>
    <w:rsid w:val="00192E45"/>
    <w:rsid w:val="00192F16"/>
    <w:rsid w:val="0019336D"/>
    <w:rsid w:val="0019356E"/>
    <w:rsid w:val="0019362B"/>
    <w:rsid w:val="0019384D"/>
    <w:rsid w:val="001938ED"/>
    <w:rsid w:val="001940AE"/>
    <w:rsid w:val="0019425B"/>
    <w:rsid w:val="00194303"/>
    <w:rsid w:val="001947CC"/>
    <w:rsid w:val="00196806"/>
    <w:rsid w:val="001970A5"/>
    <w:rsid w:val="001971FA"/>
    <w:rsid w:val="001973C3"/>
    <w:rsid w:val="001A088F"/>
    <w:rsid w:val="001A1240"/>
    <w:rsid w:val="001A185C"/>
    <w:rsid w:val="001A1A98"/>
    <w:rsid w:val="001A1AAA"/>
    <w:rsid w:val="001A2926"/>
    <w:rsid w:val="001A3723"/>
    <w:rsid w:val="001A434B"/>
    <w:rsid w:val="001A4936"/>
    <w:rsid w:val="001A4D2B"/>
    <w:rsid w:val="001A590F"/>
    <w:rsid w:val="001A5BAD"/>
    <w:rsid w:val="001A6316"/>
    <w:rsid w:val="001A7A02"/>
    <w:rsid w:val="001B081C"/>
    <w:rsid w:val="001B0AAD"/>
    <w:rsid w:val="001B0E07"/>
    <w:rsid w:val="001B14CB"/>
    <w:rsid w:val="001B2799"/>
    <w:rsid w:val="001B3552"/>
    <w:rsid w:val="001B4B7C"/>
    <w:rsid w:val="001B5183"/>
    <w:rsid w:val="001B54D9"/>
    <w:rsid w:val="001B59C1"/>
    <w:rsid w:val="001B5F7C"/>
    <w:rsid w:val="001B6457"/>
    <w:rsid w:val="001C0F69"/>
    <w:rsid w:val="001C1E72"/>
    <w:rsid w:val="001C1E8F"/>
    <w:rsid w:val="001C3003"/>
    <w:rsid w:val="001C338B"/>
    <w:rsid w:val="001C39C1"/>
    <w:rsid w:val="001C4869"/>
    <w:rsid w:val="001C4F2B"/>
    <w:rsid w:val="001C5391"/>
    <w:rsid w:val="001C5A1D"/>
    <w:rsid w:val="001D0AC5"/>
    <w:rsid w:val="001D0BF1"/>
    <w:rsid w:val="001D280B"/>
    <w:rsid w:val="001D43D4"/>
    <w:rsid w:val="001D4429"/>
    <w:rsid w:val="001D4755"/>
    <w:rsid w:val="001D49F2"/>
    <w:rsid w:val="001D4BA1"/>
    <w:rsid w:val="001D5E34"/>
    <w:rsid w:val="001D5FDC"/>
    <w:rsid w:val="001D62E0"/>
    <w:rsid w:val="001D67D6"/>
    <w:rsid w:val="001D71B3"/>
    <w:rsid w:val="001E176A"/>
    <w:rsid w:val="001E2C2C"/>
    <w:rsid w:val="001E3363"/>
    <w:rsid w:val="001E3ACF"/>
    <w:rsid w:val="001E4A93"/>
    <w:rsid w:val="001E4E0F"/>
    <w:rsid w:val="001E4E1B"/>
    <w:rsid w:val="001E4F35"/>
    <w:rsid w:val="001E6DB6"/>
    <w:rsid w:val="001E7302"/>
    <w:rsid w:val="001E7A8A"/>
    <w:rsid w:val="001E7E51"/>
    <w:rsid w:val="001F00DC"/>
    <w:rsid w:val="001F11EC"/>
    <w:rsid w:val="001F15AA"/>
    <w:rsid w:val="001F180F"/>
    <w:rsid w:val="001F28E5"/>
    <w:rsid w:val="001F352D"/>
    <w:rsid w:val="001F38EF"/>
    <w:rsid w:val="001F421E"/>
    <w:rsid w:val="001F4BF2"/>
    <w:rsid w:val="001F5034"/>
    <w:rsid w:val="001F780E"/>
    <w:rsid w:val="001F7D14"/>
    <w:rsid w:val="001F7F9B"/>
    <w:rsid w:val="002007EE"/>
    <w:rsid w:val="002019FF"/>
    <w:rsid w:val="00201E95"/>
    <w:rsid w:val="002031B0"/>
    <w:rsid w:val="00203913"/>
    <w:rsid w:val="00203CC0"/>
    <w:rsid w:val="00203F67"/>
    <w:rsid w:val="0020495B"/>
    <w:rsid w:val="00204EB8"/>
    <w:rsid w:val="00204EFE"/>
    <w:rsid w:val="00204F3B"/>
    <w:rsid w:val="0020535C"/>
    <w:rsid w:val="002055A7"/>
    <w:rsid w:val="00205B8D"/>
    <w:rsid w:val="00206264"/>
    <w:rsid w:val="00206A96"/>
    <w:rsid w:val="00207A05"/>
    <w:rsid w:val="00207D9E"/>
    <w:rsid w:val="002115C9"/>
    <w:rsid w:val="0021169E"/>
    <w:rsid w:val="00211792"/>
    <w:rsid w:val="002122BA"/>
    <w:rsid w:val="00212594"/>
    <w:rsid w:val="00213137"/>
    <w:rsid w:val="0021346B"/>
    <w:rsid w:val="00213553"/>
    <w:rsid w:val="002137EE"/>
    <w:rsid w:val="00214D9D"/>
    <w:rsid w:val="002153CD"/>
    <w:rsid w:val="00216326"/>
    <w:rsid w:val="00216B89"/>
    <w:rsid w:val="00216CF8"/>
    <w:rsid w:val="00216F9E"/>
    <w:rsid w:val="002174B1"/>
    <w:rsid w:val="00217842"/>
    <w:rsid w:val="00220987"/>
    <w:rsid w:val="00220DA6"/>
    <w:rsid w:val="0022115B"/>
    <w:rsid w:val="00222FE4"/>
    <w:rsid w:val="002237D3"/>
    <w:rsid w:val="002249BD"/>
    <w:rsid w:val="002257E7"/>
    <w:rsid w:val="00225892"/>
    <w:rsid w:val="00226694"/>
    <w:rsid w:val="0022681C"/>
    <w:rsid w:val="00227AB7"/>
    <w:rsid w:val="00227DE0"/>
    <w:rsid w:val="0023034C"/>
    <w:rsid w:val="002309BF"/>
    <w:rsid w:val="0023119F"/>
    <w:rsid w:val="00231674"/>
    <w:rsid w:val="00231BE2"/>
    <w:rsid w:val="002321E0"/>
    <w:rsid w:val="0023241D"/>
    <w:rsid w:val="002329A7"/>
    <w:rsid w:val="00234BB6"/>
    <w:rsid w:val="00235122"/>
    <w:rsid w:val="00235825"/>
    <w:rsid w:val="00237E86"/>
    <w:rsid w:val="002409BD"/>
    <w:rsid w:val="00242DFF"/>
    <w:rsid w:val="002430A7"/>
    <w:rsid w:val="00243C2F"/>
    <w:rsid w:val="00243DD7"/>
    <w:rsid w:val="002448F2"/>
    <w:rsid w:val="00244A4E"/>
    <w:rsid w:val="00244B02"/>
    <w:rsid w:val="00244F8E"/>
    <w:rsid w:val="002465AB"/>
    <w:rsid w:val="00246F9C"/>
    <w:rsid w:val="00247240"/>
    <w:rsid w:val="002474EA"/>
    <w:rsid w:val="00247602"/>
    <w:rsid w:val="0025035F"/>
    <w:rsid w:val="002510F7"/>
    <w:rsid w:val="00251887"/>
    <w:rsid w:val="00251B88"/>
    <w:rsid w:val="002520E8"/>
    <w:rsid w:val="002525D2"/>
    <w:rsid w:val="0025277F"/>
    <w:rsid w:val="002527D4"/>
    <w:rsid w:val="0025346C"/>
    <w:rsid w:val="002545A1"/>
    <w:rsid w:val="002547B7"/>
    <w:rsid w:val="0025492B"/>
    <w:rsid w:val="00254E92"/>
    <w:rsid w:val="00256356"/>
    <w:rsid w:val="002563E4"/>
    <w:rsid w:val="00256CA2"/>
    <w:rsid w:val="002604F8"/>
    <w:rsid w:val="00261EBB"/>
    <w:rsid w:val="0026277A"/>
    <w:rsid w:val="00262D85"/>
    <w:rsid w:val="00263FAA"/>
    <w:rsid w:val="00264713"/>
    <w:rsid w:val="0026522F"/>
    <w:rsid w:val="00265D62"/>
    <w:rsid w:val="00266C5A"/>
    <w:rsid w:val="00266E93"/>
    <w:rsid w:val="00267C72"/>
    <w:rsid w:val="00267EF1"/>
    <w:rsid w:val="00270335"/>
    <w:rsid w:val="0027037F"/>
    <w:rsid w:val="00270D17"/>
    <w:rsid w:val="00270F13"/>
    <w:rsid w:val="002710CE"/>
    <w:rsid w:val="0027153F"/>
    <w:rsid w:val="0027369C"/>
    <w:rsid w:val="0027395B"/>
    <w:rsid w:val="00273FB5"/>
    <w:rsid w:val="0027408E"/>
    <w:rsid w:val="00274414"/>
    <w:rsid w:val="00274BC8"/>
    <w:rsid w:val="00274F09"/>
    <w:rsid w:val="00276388"/>
    <w:rsid w:val="00276E19"/>
    <w:rsid w:val="00281CB1"/>
    <w:rsid w:val="00281FFA"/>
    <w:rsid w:val="00282A3E"/>
    <w:rsid w:val="00282D47"/>
    <w:rsid w:val="00283474"/>
    <w:rsid w:val="00283762"/>
    <w:rsid w:val="00283D39"/>
    <w:rsid w:val="0028469E"/>
    <w:rsid w:val="00284E17"/>
    <w:rsid w:val="002852BB"/>
    <w:rsid w:val="0028563F"/>
    <w:rsid w:val="002858F2"/>
    <w:rsid w:val="00286740"/>
    <w:rsid w:val="002878AA"/>
    <w:rsid w:val="00287C25"/>
    <w:rsid w:val="00287CA1"/>
    <w:rsid w:val="0029044F"/>
    <w:rsid w:val="00291153"/>
    <w:rsid w:val="002929F8"/>
    <w:rsid w:val="00292ADD"/>
    <w:rsid w:val="002930DE"/>
    <w:rsid w:val="00293562"/>
    <w:rsid w:val="00294741"/>
    <w:rsid w:val="002949A3"/>
    <w:rsid w:val="00295113"/>
    <w:rsid w:val="0029542D"/>
    <w:rsid w:val="002956DD"/>
    <w:rsid w:val="00295751"/>
    <w:rsid w:val="00295E84"/>
    <w:rsid w:val="00296D15"/>
    <w:rsid w:val="002975F2"/>
    <w:rsid w:val="00297876"/>
    <w:rsid w:val="00297C86"/>
    <w:rsid w:val="002A065A"/>
    <w:rsid w:val="002A1194"/>
    <w:rsid w:val="002A16BC"/>
    <w:rsid w:val="002A1957"/>
    <w:rsid w:val="002A2D93"/>
    <w:rsid w:val="002A3627"/>
    <w:rsid w:val="002A4759"/>
    <w:rsid w:val="002A4943"/>
    <w:rsid w:val="002A4B1D"/>
    <w:rsid w:val="002A5916"/>
    <w:rsid w:val="002A5E3F"/>
    <w:rsid w:val="002A7341"/>
    <w:rsid w:val="002B0039"/>
    <w:rsid w:val="002B21E6"/>
    <w:rsid w:val="002B290E"/>
    <w:rsid w:val="002B2B07"/>
    <w:rsid w:val="002B2B7C"/>
    <w:rsid w:val="002B2BE5"/>
    <w:rsid w:val="002B33C9"/>
    <w:rsid w:val="002B34B2"/>
    <w:rsid w:val="002B38EA"/>
    <w:rsid w:val="002B3EB4"/>
    <w:rsid w:val="002B4097"/>
    <w:rsid w:val="002B4F75"/>
    <w:rsid w:val="002B56D8"/>
    <w:rsid w:val="002B6FC7"/>
    <w:rsid w:val="002B77C8"/>
    <w:rsid w:val="002C011C"/>
    <w:rsid w:val="002C0FD8"/>
    <w:rsid w:val="002C11F9"/>
    <w:rsid w:val="002C182F"/>
    <w:rsid w:val="002C1912"/>
    <w:rsid w:val="002C30E5"/>
    <w:rsid w:val="002C3148"/>
    <w:rsid w:val="002C3804"/>
    <w:rsid w:val="002C3E9F"/>
    <w:rsid w:val="002C3EDF"/>
    <w:rsid w:val="002C4172"/>
    <w:rsid w:val="002C4885"/>
    <w:rsid w:val="002C527A"/>
    <w:rsid w:val="002C62E5"/>
    <w:rsid w:val="002C69CC"/>
    <w:rsid w:val="002C6E9F"/>
    <w:rsid w:val="002D02D9"/>
    <w:rsid w:val="002D0D7E"/>
    <w:rsid w:val="002D12DF"/>
    <w:rsid w:val="002D21D6"/>
    <w:rsid w:val="002D28CC"/>
    <w:rsid w:val="002D2974"/>
    <w:rsid w:val="002D38E3"/>
    <w:rsid w:val="002D416E"/>
    <w:rsid w:val="002D5B3B"/>
    <w:rsid w:val="002D7832"/>
    <w:rsid w:val="002D7B62"/>
    <w:rsid w:val="002E1195"/>
    <w:rsid w:val="002E1A11"/>
    <w:rsid w:val="002E213E"/>
    <w:rsid w:val="002E2695"/>
    <w:rsid w:val="002E3182"/>
    <w:rsid w:val="002E45EA"/>
    <w:rsid w:val="002E4959"/>
    <w:rsid w:val="002E50C2"/>
    <w:rsid w:val="002E56F2"/>
    <w:rsid w:val="002E61E1"/>
    <w:rsid w:val="002E6A06"/>
    <w:rsid w:val="002E78D0"/>
    <w:rsid w:val="002F128E"/>
    <w:rsid w:val="002F1917"/>
    <w:rsid w:val="002F1D86"/>
    <w:rsid w:val="002F2871"/>
    <w:rsid w:val="002F2A1E"/>
    <w:rsid w:val="002F32DC"/>
    <w:rsid w:val="002F39E8"/>
    <w:rsid w:val="002F3FC7"/>
    <w:rsid w:val="002F4499"/>
    <w:rsid w:val="002F47A6"/>
    <w:rsid w:val="002F4E22"/>
    <w:rsid w:val="002F4F51"/>
    <w:rsid w:val="002F53C9"/>
    <w:rsid w:val="002F5539"/>
    <w:rsid w:val="002F65E0"/>
    <w:rsid w:val="002F6D1B"/>
    <w:rsid w:val="0030011D"/>
    <w:rsid w:val="003002B6"/>
    <w:rsid w:val="003003A1"/>
    <w:rsid w:val="00300444"/>
    <w:rsid w:val="00300D4A"/>
    <w:rsid w:val="003013CD"/>
    <w:rsid w:val="003014B0"/>
    <w:rsid w:val="00303134"/>
    <w:rsid w:val="00303418"/>
    <w:rsid w:val="003047E7"/>
    <w:rsid w:val="00304CC0"/>
    <w:rsid w:val="00304E49"/>
    <w:rsid w:val="0030522C"/>
    <w:rsid w:val="00305565"/>
    <w:rsid w:val="00305DC4"/>
    <w:rsid w:val="0030685D"/>
    <w:rsid w:val="00306C8B"/>
    <w:rsid w:val="00307460"/>
    <w:rsid w:val="003074DF"/>
    <w:rsid w:val="003115DD"/>
    <w:rsid w:val="00311BEE"/>
    <w:rsid w:val="0031208C"/>
    <w:rsid w:val="00312754"/>
    <w:rsid w:val="00312D61"/>
    <w:rsid w:val="003130BD"/>
    <w:rsid w:val="00314D96"/>
    <w:rsid w:val="003151BD"/>
    <w:rsid w:val="00315AC9"/>
    <w:rsid w:val="003163D9"/>
    <w:rsid w:val="0031659B"/>
    <w:rsid w:val="0031683A"/>
    <w:rsid w:val="003178C6"/>
    <w:rsid w:val="00317B9F"/>
    <w:rsid w:val="003201F6"/>
    <w:rsid w:val="003202AA"/>
    <w:rsid w:val="003204C3"/>
    <w:rsid w:val="00320E57"/>
    <w:rsid w:val="00321984"/>
    <w:rsid w:val="00321B8F"/>
    <w:rsid w:val="0032344E"/>
    <w:rsid w:val="00323CD9"/>
    <w:rsid w:val="00323F91"/>
    <w:rsid w:val="00324001"/>
    <w:rsid w:val="0032774F"/>
    <w:rsid w:val="00327FD0"/>
    <w:rsid w:val="003303C9"/>
    <w:rsid w:val="00330A30"/>
    <w:rsid w:val="00333104"/>
    <w:rsid w:val="0033334A"/>
    <w:rsid w:val="003338C5"/>
    <w:rsid w:val="00333ADC"/>
    <w:rsid w:val="00334245"/>
    <w:rsid w:val="00334891"/>
    <w:rsid w:val="00334B4C"/>
    <w:rsid w:val="00334F42"/>
    <w:rsid w:val="00336B0D"/>
    <w:rsid w:val="0033766B"/>
    <w:rsid w:val="00340D0B"/>
    <w:rsid w:val="00340FEF"/>
    <w:rsid w:val="003415F9"/>
    <w:rsid w:val="00341C63"/>
    <w:rsid w:val="00342302"/>
    <w:rsid w:val="00342703"/>
    <w:rsid w:val="00342CFA"/>
    <w:rsid w:val="003443D9"/>
    <w:rsid w:val="00344435"/>
    <w:rsid w:val="00344771"/>
    <w:rsid w:val="0034556B"/>
    <w:rsid w:val="00346A35"/>
    <w:rsid w:val="003508FF"/>
    <w:rsid w:val="00352034"/>
    <w:rsid w:val="003521A9"/>
    <w:rsid w:val="00352566"/>
    <w:rsid w:val="00352B68"/>
    <w:rsid w:val="003531EB"/>
    <w:rsid w:val="00353BD4"/>
    <w:rsid w:val="00353FCD"/>
    <w:rsid w:val="0035400E"/>
    <w:rsid w:val="00354E0E"/>
    <w:rsid w:val="00355216"/>
    <w:rsid w:val="0035533D"/>
    <w:rsid w:val="00355874"/>
    <w:rsid w:val="003560CD"/>
    <w:rsid w:val="00356A79"/>
    <w:rsid w:val="00356D2B"/>
    <w:rsid w:val="00356DAC"/>
    <w:rsid w:val="00356DCF"/>
    <w:rsid w:val="00357251"/>
    <w:rsid w:val="003604C6"/>
    <w:rsid w:val="003606AC"/>
    <w:rsid w:val="00360827"/>
    <w:rsid w:val="00360D8A"/>
    <w:rsid w:val="00361123"/>
    <w:rsid w:val="00361555"/>
    <w:rsid w:val="003618BF"/>
    <w:rsid w:val="003623E5"/>
    <w:rsid w:val="00363C05"/>
    <w:rsid w:val="00364C34"/>
    <w:rsid w:val="00364D75"/>
    <w:rsid w:val="00365231"/>
    <w:rsid w:val="00365424"/>
    <w:rsid w:val="003654E0"/>
    <w:rsid w:val="003655FD"/>
    <w:rsid w:val="00365BCF"/>
    <w:rsid w:val="003667F1"/>
    <w:rsid w:val="00367378"/>
    <w:rsid w:val="00367B15"/>
    <w:rsid w:val="003702F4"/>
    <w:rsid w:val="003705B4"/>
    <w:rsid w:val="0037108A"/>
    <w:rsid w:val="00371E6A"/>
    <w:rsid w:val="003722F4"/>
    <w:rsid w:val="00373402"/>
    <w:rsid w:val="00374F15"/>
    <w:rsid w:val="00374FFF"/>
    <w:rsid w:val="0037690D"/>
    <w:rsid w:val="00377546"/>
    <w:rsid w:val="003775B3"/>
    <w:rsid w:val="0037781C"/>
    <w:rsid w:val="0037788A"/>
    <w:rsid w:val="00377C4C"/>
    <w:rsid w:val="00380FFD"/>
    <w:rsid w:val="0038347D"/>
    <w:rsid w:val="003844A8"/>
    <w:rsid w:val="00384B7F"/>
    <w:rsid w:val="00384DEA"/>
    <w:rsid w:val="00384ECD"/>
    <w:rsid w:val="00385080"/>
    <w:rsid w:val="003850F8"/>
    <w:rsid w:val="00385D12"/>
    <w:rsid w:val="00386634"/>
    <w:rsid w:val="00386938"/>
    <w:rsid w:val="00386FA1"/>
    <w:rsid w:val="00387469"/>
    <w:rsid w:val="00387BBB"/>
    <w:rsid w:val="00387BE4"/>
    <w:rsid w:val="00387D8F"/>
    <w:rsid w:val="00390250"/>
    <w:rsid w:val="003905E4"/>
    <w:rsid w:val="00390A3A"/>
    <w:rsid w:val="00390EBA"/>
    <w:rsid w:val="003911AD"/>
    <w:rsid w:val="003915DE"/>
    <w:rsid w:val="00391DF6"/>
    <w:rsid w:val="00392EEA"/>
    <w:rsid w:val="003930BB"/>
    <w:rsid w:val="0039369E"/>
    <w:rsid w:val="00393704"/>
    <w:rsid w:val="00393C53"/>
    <w:rsid w:val="00393C63"/>
    <w:rsid w:val="00394FF4"/>
    <w:rsid w:val="00395BE5"/>
    <w:rsid w:val="00396C0B"/>
    <w:rsid w:val="0039727E"/>
    <w:rsid w:val="0039745D"/>
    <w:rsid w:val="00397795"/>
    <w:rsid w:val="003A09D2"/>
    <w:rsid w:val="003A1CB3"/>
    <w:rsid w:val="003A2AF5"/>
    <w:rsid w:val="003A3F34"/>
    <w:rsid w:val="003A3FEC"/>
    <w:rsid w:val="003A4DF1"/>
    <w:rsid w:val="003A5077"/>
    <w:rsid w:val="003A59D1"/>
    <w:rsid w:val="003A6045"/>
    <w:rsid w:val="003A660D"/>
    <w:rsid w:val="003A6677"/>
    <w:rsid w:val="003A7180"/>
    <w:rsid w:val="003A7E60"/>
    <w:rsid w:val="003B04EB"/>
    <w:rsid w:val="003B0775"/>
    <w:rsid w:val="003B12D5"/>
    <w:rsid w:val="003B1491"/>
    <w:rsid w:val="003B16C4"/>
    <w:rsid w:val="003B18A3"/>
    <w:rsid w:val="003B29D2"/>
    <w:rsid w:val="003B3D11"/>
    <w:rsid w:val="003B4247"/>
    <w:rsid w:val="003B4D1F"/>
    <w:rsid w:val="003B676A"/>
    <w:rsid w:val="003B679F"/>
    <w:rsid w:val="003B6C89"/>
    <w:rsid w:val="003B77F3"/>
    <w:rsid w:val="003C10BE"/>
    <w:rsid w:val="003C1549"/>
    <w:rsid w:val="003C28E3"/>
    <w:rsid w:val="003C3287"/>
    <w:rsid w:val="003C368C"/>
    <w:rsid w:val="003C49E4"/>
    <w:rsid w:val="003C4FBC"/>
    <w:rsid w:val="003C504E"/>
    <w:rsid w:val="003C59B1"/>
    <w:rsid w:val="003C68BD"/>
    <w:rsid w:val="003C6C2E"/>
    <w:rsid w:val="003C7019"/>
    <w:rsid w:val="003C77D1"/>
    <w:rsid w:val="003C799B"/>
    <w:rsid w:val="003C7FD0"/>
    <w:rsid w:val="003D076E"/>
    <w:rsid w:val="003D1AB6"/>
    <w:rsid w:val="003D1E6F"/>
    <w:rsid w:val="003D277A"/>
    <w:rsid w:val="003D331C"/>
    <w:rsid w:val="003D3B3C"/>
    <w:rsid w:val="003D47D1"/>
    <w:rsid w:val="003D481C"/>
    <w:rsid w:val="003D4C87"/>
    <w:rsid w:val="003D5046"/>
    <w:rsid w:val="003D5206"/>
    <w:rsid w:val="003D54B2"/>
    <w:rsid w:val="003D5B54"/>
    <w:rsid w:val="003D63BA"/>
    <w:rsid w:val="003D7817"/>
    <w:rsid w:val="003D7BB7"/>
    <w:rsid w:val="003E0404"/>
    <w:rsid w:val="003E1015"/>
    <w:rsid w:val="003E136C"/>
    <w:rsid w:val="003E1C99"/>
    <w:rsid w:val="003E3035"/>
    <w:rsid w:val="003E3305"/>
    <w:rsid w:val="003E3896"/>
    <w:rsid w:val="003E3BEB"/>
    <w:rsid w:val="003E4711"/>
    <w:rsid w:val="003E49D1"/>
    <w:rsid w:val="003E4CC1"/>
    <w:rsid w:val="003E4F27"/>
    <w:rsid w:val="003E5A68"/>
    <w:rsid w:val="003E5D4D"/>
    <w:rsid w:val="003E7227"/>
    <w:rsid w:val="003E7ED4"/>
    <w:rsid w:val="003F011C"/>
    <w:rsid w:val="003F08D9"/>
    <w:rsid w:val="003F096B"/>
    <w:rsid w:val="003F1424"/>
    <w:rsid w:val="003F22D1"/>
    <w:rsid w:val="003F2582"/>
    <w:rsid w:val="003F29C0"/>
    <w:rsid w:val="003F2E3D"/>
    <w:rsid w:val="003F367B"/>
    <w:rsid w:val="003F37CD"/>
    <w:rsid w:val="003F3AF8"/>
    <w:rsid w:val="003F4323"/>
    <w:rsid w:val="003F4400"/>
    <w:rsid w:val="003F56D7"/>
    <w:rsid w:val="003F5766"/>
    <w:rsid w:val="003F5933"/>
    <w:rsid w:val="003F5D57"/>
    <w:rsid w:val="003F60DE"/>
    <w:rsid w:val="003F66A3"/>
    <w:rsid w:val="004002C3"/>
    <w:rsid w:val="004009A3"/>
    <w:rsid w:val="004010F1"/>
    <w:rsid w:val="0040487F"/>
    <w:rsid w:val="004054F1"/>
    <w:rsid w:val="004056C3"/>
    <w:rsid w:val="0040581C"/>
    <w:rsid w:val="004074F7"/>
    <w:rsid w:val="004078AF"/>
    <w:rsid w:val="0041064D"/>
    <w:rsid w:val="00411C77"/>
    <w:rsid w:val="00412869"/>
    <w:rsid w:val="00412C33"/>
    <w:rsid w:val="00412DF1"/>
    <w:rsid w:val="00413289"/>
    <w:rsid w:val="00413C55"/>
    <w:rsid w:val="00413D73"/>
    <w:rsid w:val="00413D8E"/>
    <w:rsid w:val="004149CC"/>
    <w:rsid w:val="00416329"/>
    <w:rsid w:val="004164F3"/>
    <w:rsid w:val="00416C19"/>
    <w:rsid w:val="00416C54"/>
    <w:rsid w:val="00417DE6"/>
    <w:rsid w:val="004218B7"/>
    <w:rsid w:val="00422076"/>
    <w:rsid w:val="004230E3"/>
    <w:rsid w:val="0042396D"/>
    <w:rsid w:val="00424004"/>
    <w:rsid w:val="00424308"/>
    <w:rsid w:val="00425B68"/>
    <w:rsid w:val="004264E3"/>
    <w:rsid w:val="00426A24"/>
    <w:rsid w:val="00427165"/>
    <w:rsid w:val="004277EC"/>
    <w:rsid w:val="00430218"/>
    <w:rsid w:val="00430B5D"/>
    <w:rsid w:val="00430BA8"/>
    <w:rsid w:val="0043109B"/>
    <w:rsid w:val="00431515"/>
    <w:rsid w:val="00431B93"/>
    <w:rsid w:val="004323EC"/>
    <w:rsid w:val="00433719"/>
    <w:rsid w:val="00433A1E"/>
    <w:rsid w:val="00434111"/>
    <w:rsid w:val="00434365"/>
    <w:rsid w:val="004349A5"/>
    <w:rsid w:val="004354B9"/>
    <w:rsid w:val="00435B54"/>
    <w:rsid w:val="00435D12"/>
    <w:rsid w:val="00436C85"/>
    <w:rsid w:val="004374E0"/>
    <w:rsid w:val="004374EF"/>
    <w:rsid w:val="00440ADD"/>
    <w:rsid w:val="0044121A"/>
    <w:rsid w:val="00441761"/>
    <w:rsid w:val="004419FC"/>
    <w:rsid w:val="00441B8A"/>
    <w:rsid w:val="00441D37"/>
    <w:rsid w:val="00441E0F"/>
    <w:rsid w:val="004422AF"/>
    <w:rsid w:val="0044242D"/>
    <w:rsid w:val="00443530"/>
    <w:rsid w:val="00443623"/>
    <w:rsid w:val="004449D0"/>
    <w:rsid w:val="00444BB6"/>
    <w:rsid w:val="00444C16"/>
    <w:rsid w:val="00444CA7"/>
    <w:rsid w:val="004453DB"/>
    <w:rsid w:val="00445E19"/>
    <w:rsid w:val="00446CDA"/>
    <w:rsid w:val="0045019F"/>
    <w:rsid w:val="00451699"/>
    <w:rsid w:val="004521AB"/>
    <w:rsid w:val="00452525"/>
    <w:rsid w:val="0045375E"/>
    <w:rsid w:val="00453DDB"/>
    <w:rsid w:val="004552CA"/>
    <w:rsid w:val="00455390"/>
    <w:rsid w:val="00456854"/>
    <w:rsid w:val="004572A6"/>
    <w:rsid w:val="00457430"/>
    <w:rsid w:val="0046075D"/>
    <w:rsid w:val="0046100D"/>
    <w:rsid w:val="004614BD"/>
    <w:rsid w:val="00462182"/>
    <w:rsid w:val="00462949"/>
    <w:rsid w:val="00462C5D"/>
    <w:rsid w:val="00462FF6"/>
    <w:rsid w:val="00463030"/>
    <w:rsid w:val="00463879"/>
    <w:rsid w:val="00463D28"/>
    <w:rsid w:val="00464147"/>
    <w:rsid w:val="00465489"/>
    <w:rsid w:val="004671F8"/>
    <w:rsid w:val="004703F1"/>
    <w:rsid w:val="00471A08"/>
    <w:rsid w:val="0047249F"/>
    <w:rsid w:val="0047274D"/>
    <w:rsid w:val="00472778"/>
    <w:rsid w:val="004729F5"/>
    <w:rsid w:val="00473408"/>
    <w:rsid w:val="00473A83"/>
    <w:rsid w:val="00473AA2"/>
    <w:rsid w:val="00473CE5"/>
    <w:rsid w:val="0047426B"/>
    <w:rsid w:val="00474728"/>
    <w:rsid w:val="00474A68"/>
    <w:rsid w:val="004756A8"/>
    <w:rsid w:val="0047595C"/>
    <w:rsid w:val="004764CD"/>
    <w:rsid w:val="004765E4"/>
    <w:rsid w:val="004769BC"/>
    <w:rsid w:val="00481BFC"/>
    <w:rsid w:val="004825E4"/>
    <w:rsid w:val="004828DE"/>
    <w:rsid w:val="004832BD"/>
    <w:rsid w:val="004855A1"/>
    <w:rsid w:val="00485733"/>
    <w:rsid w:val="00485A7A"/>
    <w:rsid w:val="00485DC5"/>
    <w:rsid w:val="00486230"/>
    <w:rsid w:val="0048656B"/>
    <w:rsid w:val="00486967"/>
    <w:rsid w:val="00486A4F"/>
    <w:rsid w:val="004871DB"/>
    <w:rsid w:val="00487CB3"/>
    <w:rsid w:val="0049045D"/>
    <w:rsid w:val="00490FE9"/>
    <w:rsid w:val="00491275"/>
    <w:rsid w:val="004925B3"/>
    <w:rsid w:val="004926C9"/>
    <w:rsid w:val="004929C5"/>
    <w:rsid w:val="00492C77"/>
    <w:rsid w:val="004931E2"/>
    <w:rsid w:val="00493CB0"/>
    <w:rsid w:val="00494F07"/>
    <w:rsid w:val="00495A26"/>
    <w:rsid w:val="00495B65"/>
    <w:rsid w:val="00496551"/>
    <w:rsid w:val="004965AD"/>
    <w:rsid w:val="004966EC"/>
    <w:rsid w:val="00496BFB"/>
    <w:rsid w:val="004A0AD5"/>
    <w:rsid w:val="004A0B2C"/>
    <w:rsid w:val="004A1537"/>
    <w:rsid w:val="004A31F2"/>
    <w:rsid w:val="004A5A8F"/>
    <w:rsid w:val="004A5EF8"/>
    <w:rsid w:val="004A6D9E"/>
    <w:rsid w:val="004A6DBF"/>
    <w:rsid w:val="004A7D89"/>
    <w:rsid w:val="004A7F84"/>
    <w:rsid w:val="004B0B1B"/>
    <w:rsid w:val="004B49BD"/>
    <w:rsid w:val="004B5759"/>
    <w:rsid w:val="004B6257"/>
    <w:rsid w:val="004B7DCE"/>
    <w:rsid w:val="004C0C1E"/>
    <w:rsid w:val="004C1F0B"/>
    <w:rsid w:val="004C2265"/>
    <w:rsid w:val="004C2722"/>
    <w:rsid w:val="004C30EB"/>
    <w:rsid w:val="004C4FCF"/>
    <w:rsid w:val="004C5C95"/>
    <w:rsid w:val="004C6FC0"/>
    <w:rsid w:val="004C77EE"/>
    <w:rsid w:val="004C7AF6"/>
    <w:rsid w:val="004D0AC9"/>
    <w:rsid w:val="004D19FF"/>
    <w:rsid w:val="004D1B58"/>
    <w:rsid w:val="004D2217"/>
    <w:rsid w:val="004D4055"/>
    <w:rsid w:val="004D5DE5"/>
    <w:rsid w:val="004D6BC7"/>
    <w:rsid w:val="004D6CD6"/>
    <w:rsid w:val="004D6D43"/>
    <w:rsid w:val="004E0037"/>
    <w:rsid w:val="004E0C8E"/>
    <w:rsid w:val="004E1C17"/>
    <w:rsid w:val="004E2062"/>
    <w:rsid w:val="004E2F69"/>
    <w:rsid w:val="004E3327"/>
    <w:rsid w:val="004E40CC"/>
    <w:rsid w:val="004E4E7C"/>
    <w:rsid w:val="004E537B"/>
    <w:rsid w:val="004E5813"/>
    <w:rsid w:val="004E5B80"/>
    <w:rsid w:val="004E5E70"/>
    <w:rsid w:val="004E6421"/>
    <w:rsid w:val="004E68C2"/>
    <w:rsid w:val="004E7721"/>
    <w:rsid w:val="004E77AB"/>
    <w:rsid w:val="004F0533"/>
    <w:rsid w:val="004F19CB"/>
    <w:rsid w:val="004F1D64"/>
    <w:rsid w:val="004F20D7"/>
    <w:rsid w:val="004F2AF7"/>
    <w:rsid w:val="004F32E0"/>
    <w:rsid w:val="004F3D23"/>
    <w:rsid w:val="004F5BC9"/>
    <w:rsid w:val="004F5DA4"/>
    <w:rsid w:val="004F5F12"/>
    <w:rsid w:val="004F6085"/>
    <w:rsid w:val="004F6355"/>
    <w:rsid w:val="004F64E3"/>
    <w:rsid w:val="004F66CE"/>
    <w:rsid w:val="004F769D"/>
    <w:rsid w:val="00500971"/>
    <w:rsid w:val="00500C01"/>
    <w:rsid w:val="00501714"/>
    <w:rsid w:val="00501B7E"/>
    <w:rsid w:val="00501FC7"/>
    <w:rsid w:val="0050261D"/>
    <w:rsid w:val="005027F9"/>
    <w:rsid w:val="00502F5D"/>
    <w:rsid w:val="00503376"/>
    <w:rsid w:val="00503DB1"/>
    <w:rsid w:val="00503E2F"/>
    <w:rsid w:val="00504422"/>
    <w:rsid w:val="00505AA1"/>
    <w:rsid w:val="005061EA"/>
    <w:rsid w:val="0050627A"/>
    <w:rsid w:val="0050647A"/>
    <w:rsid w:val="005068EA"/>
    <w:rsid w:val="0050767A"/>
    <w:rsid w:val="00510FF8"/>
    <w:rsid w:val="00511105"/>
    <w:rsid w:val="00511305"/>
    <w:rsid w:val="00511829"/>
    <w:rsid w:val="00511D37"/>
    <w:rsid w:val="00512C82"/>
    <w:rsid w:val="00512CEE"/>
    <w:rsid w:val="00513145"/>
    <w:rsid w:val="0051314D"/>
    <w:rsid w:val="00514FB0"/>
    <w:rsid w:val="005155CE"/>
    <w:rsid w:val="00516686"/>
    <w:rsid w:val="0051709E"/>
    <w:rsid w:val="0051764E"/>
    <w:rsid w:val="005209B3"/>
    <w:rsid w:val="00520B9C"/>
    <w:rsid w:val="00521189"/>
    <w:rsid w:val="00521641"/>
    <w:rsid w:val="00522534"/>
    <w:rsid w:val="0052296B"/>
    <w:rsid w:val="00522CD8"/>
    <w:rsid w:val="0052325A"/>
    <w:rsid w:val="005234B9"/>
    <w:rsid w:val="00523883"/>
    <w:rsid w:val="00523A62"/>
    <w:rsid w:val="005240F8"/>
    <w:rsid w:val="00525061"/>
    <w:rsid w:val="005256F8"/>
    <w:rsid w:val="005261D5"/>
    <w:rsid w:val="005268E9"/>
    <w:rsid w:val="00526FDB"/>
    <w:rsid w:val="005278B1"/>
    <w:rsid w:val="00527D69"/>
    <w:rsid w:val="0053002D"/>
    <w:rsid w:val="0053029B"/>
    <w:rsid w:val="005306B8"/>
    <w:rsid w:val="00530A9D"/>
    <w:rsid w:val="00531E12"/>
    <w:rsid w:val="00532307"/>
    <w:rsid w:val="00532DCC"/>
    <w:rsid w:val="00533763"/>
    <w:rsid w:val="00533911"/>
    <w:rsid w:val="0053581A"/>
    <w:rsid w:val="005363B2"/>
    <w:rsid w:val="005363C1"/>
    <w:rsid w:val="005367D4"/>
    <w:rsid w:val="00536BE4"/>
    <w:rsid w:val="005373E9"/>
    <w:rsid w:val="00537F36"/>
    <w:rsid w:val="005408DF"/>
    <w:rsid w:val="00540C58"/>
    <w:rsid w:val="00541012"/>
    <w:rsid w:val="00543B1E"/>
    <w:rsid w:val="005446E7"/>
    <w:rsid w:val="005449DE"/>
    <w:rsid w:val="00545386"/>
    <w:rsid w:val="005461A1"/>
    <w:rsid w:val="00546F23"/>
    <w:rsid w:val="005504CE"/>
    <w:rsid w:val="00550BCD"/>
    <w:rsid w:val="00550E9F"/>
    <w:rsid w:val="00550FD4"/>
    <w:rsid w:val="005514E9"/>
    <w:rsid w:val="005517EE"/>
    <w:rsid w:val="00551AB7"/>
    <w:rsid w:val="0055256B"/>
    <w:rsid w:val="005526BF"/>
    <w:rsid w:val="00552A36"/>
    <w:rsid w:val="00552A38"/>
    <w:rsid w:val="00552C52"/>
    <w:rsid w:val="0055405A"/>
    <w:rsid w:val="00554E47"/>
    <w:rsid w:val="005556D5"/>
    <w:rsid w:val="0055630E"/>
    <w:rsid w:val="005565BB"/>
    <w:rsid w:val="00557226"/>
    <w:rsid w:val="005576DA"/>
    <w:rsid w:val="0056035F"/>
    <w:rsid w:val="00561179"/>
    <w:rsid w:val="00561F97"/>
    <w:rsid w:val="005625AC"/>
    <w:rsid w:val="00563D42"/>
    <w:rsid w:val="00564B62"/>
    <w:rsid w:val="00565260"/>
    <w:rsid w:val="00566926"/>
    <w:rsid w:val="00566D80"/>
    <w:rsid w:val="0056738A"/>
    <w:rsid w:val="00570663"/>
    <w:rsid w:val="00570CF0"/>
    <w:rsid w:val="0057147D"/>
    <w:rsid w:val="005717B3"/>
    <w:rsid w:val="00571D4A"/>
    <w:rsid w:val="005726B0"/>
    <w:rsid w:val="005728AE"/>
    <w:rsid w:val="00573058"/>
    <w:rsid w:val="00573693"/>
    <w:rsid w:val="005741E2"/>
    <w:rsid w:val="005743B9"/>
    <w:rsid w:val="00575BE3"/>
    <w:rsid w:val="0057783B"/>
    <w:rsid w:val="00581079"/>
    <w:rsid w:val="00582BA9"/>
    <w:rsid w:val="00582EB3"/>
    <w:rsid w:val="00583015"/>
    <w:rsid w:val="0058341A"/>
    <w:rsid w:val="00584AF8"/>
    <w:rsid w:val="005860FF"/>
    <w:rsid w:val="00587226"/>
    <w:rsid w:val="0058766A"/>
    <w:rsid w:val="0058778D"/>
    <w:rsid w:val="005905B8"/>
    <w:rsid w:val="00590F3A"/>
    <w:rsid w:val="005911F9"/>
    <w:rsid w:val="005913C6"/>
    <w:rsid w:val="0059193A"/>
    <w:rsid w:val="005920BA"/>
    <w:rsid w:val="00592104"/>
    <w:rsid w:val="005921EC"/>
    <w:rsid w:val="00592E94"/>
    <w:rsid w:val="005931E4"/>
    <w:rsid w:val="0059334E"/>
    <w:rsid w:val="005935D6"/>
    <w:rsid w:val="00593C87"/>
    <w:rsid w:val="00594558"/>
    <w:rsid w:val="0059462F"/>
    <w:rsid w:val="00596BB2"/>
    <w:rsid w:val="00597BAE"/>
    <w:rsid w:val="005A0004"/>
    <w:rsid w:val="005A051D"/>
    <w:rsid w:val="005A07D5"/>
    <w:rsid w:val="005A0932"/>
    <w:rsid w:val="005A0945"/>
    <w:rsid w:val="005A1496"/>
    <w:rsid w:val="005A15A3"/>
    <w:rsid w:val="005A2919"/>
    <w:rsid w:val="005A2AB6"/>
    <w:rsid w:val="005A344B"/>
    <w:rsid w:val="005A3555"/>
    <w:rsid w:val="005A51C2"/>
    <w:rsid w:val="005A5363"/>
    <w:rsid w:val="005A5D28"/>
    <w:rsid w:val="005A699B"/>
    <w:rsid w:val="005A71B6"/>
    <w:rsid w:val="005A79A2"/>
    <w:rsid w:val="005B0A10"/>
    <w:rsid w:val="005B0B6B"/>
    <w:rsid w:val="005B0ED6"/>
    <w:rsid w:val="005B0F73"/>
    <w:rsid w:val="005B14CB"/>
    <w:rsid w:val="005B16FC"/>
    <w:rsid w:val="005B1F3E"/>
    <w:rsid w:val="005B3101"/>
    <w:rsid w:val="005B316A"/>
    <w:rsid w:val="005B3399"/>
    <w:rsid w:val="005B3714"/>
    <w:rsid w:val="005B40E0"/>
    <w:rsid w:val="005B40E4"/>
    <w:rsid w:val="005B4165"/>
    <w:rsid w:val="005B429B"/>
    <w:rsid w:val="005B605E"/>
    <w:rsid w:val="005B62D7"/>
    <w:rsid w:val="005B6587"/>
    <w:rsid w:val="005B6657"/>
    <w:rsid w:val="005B77BD"/>
    <w:rsid w:val="005B7BFD"/>
    <w:rsid w:val="005C0597"/>
    <w:rsid w:val="005C151D"/>
    <w:rsid w:val="005C2282"/>
    <w:rsid w:val="005C23FC"/>
    <w:rsid w:val="005C2F8F"/>
    <w:rsid w:val="005C3CB9"/>
    <w:rsid w:val="005C3E0F"/>
    <w:rsid w:val="005C3EE6"/>
    <w:rsid w:val="005C405C"/>
    <w:rsid w:val="005C40C9"/>
    <w:rsid w:val="005C48D0"/>
    <w:rsid w:val="005C4F32"/>
    <w:rsid w:val="005C578B"/>
    <w:rsid w:val="005C60E6"/>
    <w:rsid w:val="005C6631"/>
    <w:rsid w:val="005C7901"/>
    <w:rsid w:val="005D0B8E"/>
    <w:rsid w:val="005D0D74"/>
    <w:rsid w:val="005D1365"/>
    <w:rsid w:val="005D1692"/>
    <w:rsid w:val="005D1DC4"/>
    <w:rsid w:val="005D1F70"/>
    <w:rsid w:val="005D37B3"/>
    <w:rsid w:val="005D38D7"/>
    <w:rsid w:val="005D3A74"/>
    <w:rsid w:val="005D3E2A"/>
    <w:rsid w:val="005D4075"/>
    <w:rsid w:val="005D42E7"/>
    <w:rsid w:val="005D4A9E"/>
    <w:rsid w:val="005D55A5"/>
    <w:rsid w:val="005D5E57"/>
    <w:rsid w:val="005D6D2C"/>
    <w:rsid w:val="005D6F04"/>
    <w:rsid w:val="005D77B7"/>
    <w:rsid w:val="005E04E6"/>
    <w:rsid w:val="005E0588"/>
    <w:rsid w:val="005E0D71"/>
    <w:rsid w:val="005E1713"/>
    <w:rsid w:val="005E1B51"/>
    <w:rsid w:val="005E1C4C"/>
    <w:rsid w:val="005E39F8"/>
    <w:rsid w:val="005E3FC8"/>
    <w:rsid w:val="005E417B"/>
    <w:rsid w:val="005E5A2D"/>
    <w:rsid w:val="005E5CFF"/>
    <w:rsid w:val="005E6B96"/>
    <w:rsid w:val="005E7853"/>
    <w:rsid w:val="005E7DAA"/>
    <w:rsid w:val="005F082F"/>
    <w:rsid w:val="005F08FD"/>
    <w:rsid w:val="005F0FDF"/>
    <w:rsid w:val="005F1654"/>
    <w:rsid w:val="005F18F6"/>
    <w:rsid w:val="005F1CC1"/>
    <w:rsid w:val="005F1E37"/>
    <w:rsid w:val="005F2B6C"/>
    <w:rsid w:val="005F2E22"/>
    <w:rsid w:val="005F3445"/>
    <w:rsid w:val="005F34A2"/>
    <w:rsid w:val="005F3EE8"/>
    <w:rsid w:val="005F3F1A"/>
    <w:rsid w:val="005F4DF0"/>
    <w:rsid w:val="005F5DEB"/>
    <w:rsid w:val="005F6CC8"/>
    <w:rsid w:val="005F7434"/>
    <w:rsid w:val="005F7778"/>
    <w:rsid w:val="005F7DC7"/>
    <w:rsid w:val="0060013F"/>
    <w:rsid w:val="006004BC"/>
    <w:rsid w:val="006006CA"/>
    <w:rsid w:val="006014CF"/>
    <w:rsid w:val="0060153B"/>
    <w:rsid w:val="00601C40"/>
    <w:rsid w:val="0060632B"/>
    <w:rsid w:val="006067FB"/>
    <w:rsid w:val="0060724F"/>
    <w:rsid w:val="0061053C"/>
    <w:rsid w:val="00610F38"/>
    <w:rsid w:val="00611203"/>
    <w:rsid w:val="006118F9"/>
    <w:rsid w:val="00612A29"/>
    <w:rsid w:val="00612B5E"/>
    <w:rsid w:val="006139EA"/>
    <w:rsid w:val="00613C8B"/>
    <w:rsid w:val="00614561"/>
    <w:rsid w:val="00615195"/>
    <w:rsid w:val="00615A2A"/>
    <w:rsid w:val="00615AF6"/>
    <w:rsid w:val="0061613E"/>
    <w:rsid w:val="0061680B"/>
    <w:rsid w:val="00616C20"/>
    <w:rsid w:val="00620834"/>
    <w:rsid w:val="00620872"/>
    <w:rsid w:val="00620931"/>
    <w:rsid w:val="00620D6F"/>
    <w:rsid w:val="0062207C"/>
    <w:rsid w:val="00622109"/>
    <w:rsid w:val="006224B5"/>
    <w:rsid w:val="006235DA"/>
    <w:rsid w:val="00623639"/>
    <w:rsid w:val="0062387F"/>
    <w:rsid w:val="00623C2F"/>
    <w:rsid w:val="00624A32"/>
    <w:rsid w:val="00625696"/>
    <w:rsid w:val="00625F35"/>
    <w:rsid w:val="00625F36"/>
    <w:rsid w:val="00626849"/>
    <w:rsid w:val="00626D75"/>
    <w:rsid w:val="00626E08"/>
    <w:rsid w:val="00626F8E"/>
    <w:rsid w:val="00627EEE"/>
    <w:rsid w:val="0063038E"/>
    <w:rsid w:val="00630CB6"/>
    <w:rsid w:val="00631C27"/>
    <w:rsid w:val="00631F12"/>
    <w:rsid w:val="006321AE"/>
    <w:rsid w:val="00632715"/>
    <w:rsid w:val="00632B73"/>
    <w:rsid w:val="00632C8F"/>
    <w:rsid w:val="00632C90"/>
    <w:rsid w:val="00633629"/>
    <w:rsid w:val="00634E4B"/>
    <w:rsid w:val="006351D4"/>
    <w:rsid w:val="0063538C"/>
    <w:rsid w:val="0063617F"/>
    <w:rsid w:val="006367C9"/>
    <w:rsid w:val="00636908"/>
    <w:rsid w:val="00636D5C"/>
    <w:rsid w:val="00637F2C"/>
    <w:rsid w:val="00640971"/>
    <w:rsid w:val="00640DC8"/>
    <w:rsid w:val="00640F1C"/>
    <w:rsid w:val="006414B2"/>
    <w:rsid w:val="00641925"/>
    <w:rsid w:val="0064274D"/>
    <w:rsid w:val="0064282E"/>
    <w:rsid w:val="00643A14"/>
    <w:rsid w:val="00643FCC"/>
    <w:rsid w:val="00644620"/>
    <w:rsid w:val="006447CE"/>
    <w:rsid w:val="0064488C"/>
    <w:rsid w:val="006455A6"/>
    <w:rsid w:val="0064565C"/>
    <w:rsid w:val="00645871"/>
    <w:rsid w:val="00647425"/>
    <w:rsid w:val="00647461"/>
    <w:rsid w:val="00647DA0"/>
    <w:rsid w:val="0065104C"/>
    <w:rsid w:val="00651096"/>
    <w:rsid w:val="006513FC"/>
    <w:rsid w:val="00651974"/>
    <w:rsid w:val="00652677"/>
    <w:rsid w:val="00652B9E"/>
    <w:rsid w:val="00653C1F"/>
    <w:rsid w:val="00654041"/>
    <w:rsid w:val="00654303"/>
    <w:rsid w:val="00654871"/>
    <w:rsid w:val="006548E7"/>
    <w:rsid w:val="00654E08"/>
    <w:rsid w:val="006554EC"/>
    <w:rsid w:val="00655B2F"/>
    <w:rsid w:val="00655D20"/>
    <w:rsid w:val="00656592"/>
    <w:rsid w:val="00656FBD"/>
    <w:rsid w:val="00661005"/>
    <w:rsid w:val="0066147B"/>
    <w:rsid w:val="00661D08"/>
    <w:rsid w:val="00662D4E"/>
    <w:rsid w:val="00663544"/>
    <w:rsid w:val="00663583"/>
    <w:rsid w:val="00664618"/>
    <w:rsid w:val="006656B4"/>
    <w:rsid w:val="006657FF"/>
    <w:rsid w:val="00665878"/>
    <w:rsid w:val="00666EA8"/>
    <w:rsid w:val="00667AE7"/>
    <w:rsid w:val="00667BC5"/>
    <w:rsid w:val="0067006E"/>
    <w:rsid w:val="00670C3E"/>
    <w:rsid w:val="00670EAD"/>
    <w:rsid w:val="00671916"/>
    <w:rsid w:val="00672B75"/>
    <w:rsid w:val="0067334C"/>
    <w:rsid w:val="00673662"/>
    <w:rsid w:val="00673C35"/>
    <w:rsid w:val="00673FA3"/>
    <w:rsid w:val="006741DF"/>
    <w:rsid w:val="006744DE"/>
    <w:rsid w:val="00674510"/>
    <w:rsid w:val="0067491D"/>
    <w:rsid w:val="00674CE6"/>
    <w:rsid w:val="006764CF"/>
    <w:rsid w:val="00676514"/>
    <w:rsid w:val="006767B9"/>
    <w:rsid w:val="006767D1"/>
    <w:rsid w:val="00676890"/>
    <w:rsid w:val="00677FDD"/>
    <w:rsid w:val="00680580"/>
    <w:rsid w:val="006806C7"/>
    <w:rsid w:val="00680AE6"/>
    <w:rsid w:val="00680C6C"/>
    <w:rsid w:val="006810F5"/>
    <w:rsid w:val="00681105"/>
    <w:rsid w:val="00681B4D"/>
    <w:rsid w:val="006824EF"/>
    <w:rsid w:val="00682DD3"/>
    <w:rsid w:val="00683666"/>
    <w:rsid w:val="00684C5C"/>
    <w:rsid w:val="0068536C"/>
    <w:rsid w:val="00685457"/>
    <w:rsid w:val="00685F85"/>
    <w:rsid w:val="00687159"/>
    <w:rsid w:val="006872F6"/>
    <w:rsid w:val="0068746F"/>
    <w:rsid w:val="006918F5"/>
    <w:rsid w:val="0069221C"/>
    <w:rsid w:val="006922C3"/>
    <w:rsid w:val="00692708"/>
    <w:rsid w:val="006927D4"/>
    <w:rsid w:val="00692F5B"/>
    <w:rsid w:val="006932CD"/>
    <w:rsid w:val="006933AC"/>
    <w:rsid w:val="00693621"/>
    <w:rsid w:val="00693CC3"/>
    <w:rsid w:val="006946CF"/>
    <w:rsid w:val="00694836"/>
    <w:rsid w:val="00697227"/>
    <w:rsid w:val="00697677"/>
    <w:rsid w:val="00697B49"/>
    <w:rsid w:val="006A1214"/>
    <w:rsid w:val="006A138C"/>
    <w:rsid w:val="006A1C61"/>
    <w:rsid w:val="006A1D65"/>
    <w:rsid w:val="006A2569"/>
    <w:rsid w:val="006A30E2"/>
    <w:rsid w:val="006A392F"/>
    <w:rsid w:val="006A406B"/>
    <w:rsid w:val="006A4593"/>
    <w:rsid w:val="006A4F70"/>
    <w:rsid w:val="006A59DC"/>
    <w:rsid w:val="006A6297"/>
    <w:rsid w:val="006A689B"/>
    <w:rsid w:val="006A6FB4"/>
    <w:rsid w:val="006A72CA"/>
    <w:rsid w:val="006B06AE"/>
    <w:rsid w:val="006B19FD"/>
    <w:rsid w:val="006B225D"/>
    <w:rsid w:val="006B23B1"/>
    <w:rsid w:val="006B66C6"/>
    <w:rsid w:val="006B69A6"/>
    <w:rsid w:val="006B6DF5"/>
    <w:rsid w:val="006B71D2"/>
    <w:rsid w:val="006B7537"/>
    <w:rsid w:val="006B7C9A"/>
    <w:rsid w:val="006C0CBD"/>
    <w:rsid w:val="006C1069"/>
    <w:rsid w:val="006C12AB"/>
    <w:rsid w:val="006C16EE"/>
    <w:rsid w:val="006C17AF"/>
    <w:rsid w:val="006C2549"/>
    <w:rsid w:val="006C2CF2"/>
    <w:rsid w:val="006C30D8"/>
    <w:rsid w:val="006C3906"/>
    <w:rsid w:val="006C3EEA"/>
    <w:rsid w:val="006C408D"/>
    <w:rsid w:val="006C4301"/>
    <w:rsid w:val="006C4C93"/>
    <w:rsid w:val="006C4E5E"/>
    <w:rsid w:val="006D054F"/>
    <w:rsid w:val="006D1382"/>
    <w:rsid w:val="006D1D1C"/>
    <w:rsid w:val="006D25A3"/>
    <w:rsid w:val="006D287B"/>
    <w:rsid w:val="006D2D1C"/>
    <w:rsid w:val="006D39A7"/>
    <w:rsid w:val="006D3AF5"/>
    <w:rsid w:val="006D5EFA"/>
    <w:rsid w:val="006D5F9C"/>
    <w:rsid w:val="006D7241"/>
    <w:rsid w:val="006D7F9C"/>
    <w:rsid w:val="006E0351"/>
    <w:rsid w:val="006E0DBF"/>
    <w:rsid w:val="006E1B5E"/>
    <w:rsid w:val="006E2447"/>
    <w:rsid w:val="006E3983"/>
    <w:rsid w:val="006E43DB"/>
    <w:rsid w:val="006E4922"/>
    <w:rsid w:val="006E5C1D"/>
    <w:rsid w:val="006E5E81"/>
    <w:rsid w:val="006E5EEF"/>
    <w:rsid w:val="006E6EEE"/>
    <w:rsid w:val="006E787A"/>
    <w:rsid w:val="006F07FE"/>
    <w:rsid w:val="006F1E0B"/>
    <w:rsid w:val="006F1E75"/>
    <w:rsid w:val="006F209F"/>
    <w:rsid w:val="006F3E29"/>
    <w:rsid w:val="006F4860"/>
    <w:rsid w:val="006F4D54"/>
    <w:rsid w:val="006F5353"/>
    <w:rsid w:val="006F6AC7"/>
    <w:rsid w:val="006F7F96"/>
    <w:rsid w:val="00701253"/>
    <w:rsid w:val="00701AF8"/>
    <w:rsid w:val="00701C73"/>
    <w:rsid w:val="00702A28"/>
    <w:rsid w:val="00702C80"/>
    <w:rsid w:val="0070393D"/>
    <w:rsid w:val="00705D25"/>
    <w:rsid w:val="00706860"/>
    <w:rsid w:val="0070734B"/>
    <w:rsid w:val="00711277"/>
    <w:rsid w:val="0071162D"/>
    <w:rsid w:val="007128BB"/>
    <w:rsid w:val="0071290B"/>
    <w:rsid w:val="00712A53"/>
    <w:rsid w:val="00713DA9"/>
    <w:rsid w:val="00716672"/>
    <w:rsid w:val="00716C9F"/>
    <w:rsid w:val="007176CD"/>
    <w:rsid w:val="00717A7F"/>
    <w:rsid w:val="00720085"/>
    <w:rsid w:val="0072040F"/>
    <w:rsid w:val="00720FE4"/>
    <w:rsid w:val="0072104F"/>
    <w:rsid w:val="00721FCC"/>
    <w:rsid w:val="007220B9"/>
    <w:rsid w:val="00722A56"/>
    <w:rsid w:val="007248CC"/>
    <w:rsid w:val="007252E6"/>
    <w:rsid w:val="007253B7"/>
    <w:rsid w:val="007258AC"/>
    <w:rsid w:val="00725CC6"/>
    <w:rsid w:val="00725E9D"/>
    <w:rsid w:val="007268F5"/>
    <w:rsid w:val="007302AF"/>
    <w:rsid w:val="00730300"/>
    <w:rsid w:val="00730553"/>
    <w:rsid w:val="007308BE"/>
    <w:rsid w:val="007314B4"/>
    <w:rsid w:val="007330B9"/>
    <w:rsid w:val="0073373C"/>
    <w:rsid w:val="007342D5"/>
    <w:rsid w:val="00734508"/>
    <w:rsid w:val="00734F4A"/>
    <w:rsid w:val="00735EC4"/>
    <w:rsid w:val="00735F61"/>
    <w:rsid w:val="00736680"/>
    <w:rsid w:val="00736AF4"/>
    <w:rsid w:val="00737A9C"/>
    <w:rsid w:val="007402ED"/>
    <w:rsid w:val="00740B3D"/>
    <w:rsid w:val="00740BCB"/>
    <w:rsid w:val="0074192B"/>
    <w:rsid w:val="00742C21"/>
    <w:rsid w:val="00743380"/>
    <w:rsid w:val="00743A16"/>
    <w:rsid w:val="00744F66"/>
    <w:rsid w:val="00745A4A"/>
    <w:rsid w:val="00745BEF"/>
    <w:rsid w:val="007462C1"/>
    <w:rsid w:val="0074795B"/>
    <w:rsid w:val="00747B86"/>
    <w:rsid w:val="00747F9C"/>
    <w:rsid w:val="007500EF"/>
    <w:rsid w:val="00750238"/>
    <w:rsid w:val="007523B6"/>
    <w:rsid w:val="0075260D"/>
    <w:rsid w:val="00752A99"/>
    <w:rsid w:val="00752D8D"/>
    <w:rsid w:val="0075303A"/>
    <w:rsid w:val="0075460D"/>
    <w:rsid w:val="00754F8A"/>
    <w:rsid w:val="007555CF"/>
    <w:rsid w:val="007557E8"/>
    <w:rsid w:val="00755961"/>
    <w:rsid w:val="00755C7F"/>
    <w:rsid w:val="00756673"/>
    <w:rsid w:val="007579E2"/>
    <w:rsid w:val="00757EFB"/>
    <w:rsid w:val="007604F0"/>
    <w:rsid w:val="007607C9"/>
    <w:rsid w:val="00760DBD"/>
    <w:rsid w:val="00761319"/>
    <w:rsid w:val="00761741"/>
    <w:rsid w:val="00761921"/>
    <w:rsid w:val="00761A9F"/>
    <w:rsid w:val="00761BD3"/>
    <w:rsid w:val="00761EEF"/>
    <w:rsid w:val="00761FFA"/>
    <w:rsid w:val="00762566"/>
    <w:rsid w:val="00762CF3"/>
    <w:rsid w:val="0076395C"/>
    <w:rsid w:val="00765813"/>
    <w:rsid w:val="00765BE9"/>
    <w:rsid w:val="00766FF9"/>
    <w:rsid w:val="00767154"/>
    <w:rsid w:val="00767353"/>
    <w:rsid w:val="0077026C"/>
    <w:rsid w:val="007705C9"/>
    <w:rsid w:val="007709E0"/>
    <w:rsid w:val="00771059"/>
    <w:rsid w:val="00772911"/>
    <w:rsid w:val="007732E8"/>
    <w:rsid w:val="00774D22"/>
    <w:rsid w:val="0077509F"/>
    <w:rsid w:val="00775555"/>
    <w:rsid w:val="00775C52"/>
    <w:rsid w:val="00775CF1"/>
    <w:rsid w:val="0077633B"/>
    <w:rsid w:val="00777482"/>
    <w:rsid w:val="007800A0"/>
    <w:rsid w:val="007802BA"/>
    <w:rsid w:val="007809C0"/>
    <w:rsid w:val="00780B3F"/>
    <w:rsid w:val="0078235A"/>
    <w:rsid w:val="007829D0"/>
    <w:rsid w:val="00783470"/>
    <w:rsid w:val="007841FB"/>
    <w:rsid w:val="00784341"/>
    <w:rsid w:val="00784AA5"/>
    <w:rsid w:val="00785874"/>
    <w:rsid w:val="00785D2F"/>
    <w:rsid w:val="00786666"/>
    <w:rsid w:val="00786AC8"/>
    <w:rsid w:val="007872E0"/>
    <w:rsid w:val="0078747E"/>
    <w:rsid w:val="00787CCB"/>
    <w:rsid w:val="007914F7"/>
    <w:rsid w:val="0079161A"/>
    <w:rsid w:val="0079166A"/>
    <w:rsid w:val="00791E01"/>
    <w:rsid w:val="00792076"/>
    <w:rsid w:val="00794C93"/>
    <w:rsid w:val="007951B8"/>
    <w:rsid w:val="007956EF"/>
    <w:rsid w:val="00795BD1"/>
    <w:rsid w:val="007976A8"/>
    <w:rsid w:val="007A0AEA"/>
    <w:rsid w:val="007A0B88"/>
    <w:rsid w:val="007A14B7"/>
    <w:rsid w:val="007A30E3"/>
    <w:rsid w:val="007A3E37"/>
    <w:rsid w:val="007A490B"/>
    <w:rsid w:val="007A4ED6"/>
    <w:rsid w:val="007A5736"/>
    <w:rsid w:val="007A5D18"/>
    <w:rsid w:val="007A5FC7"/>
    <w:rsid w:val="007A69AB"/>
    <w:rsid w:val="007A6FC6"/>
    <w:rsid w:val="007A77D9"/>
    <w:rsid w:val="007A7E6E"/>
    <w:rsid w:val="007B055E"/>
    <w:rsid w:val="007B1672"/>
    <w:rsid w:val="007B1848"/>
    <w:rsid w:val="007B2602"/>
    <w:rsid w:val="007B3C9D"/>
    <w:rsid w:val="007B4ADC"/>
    <w:rsid w:val="007B6366"/>
    <w:rsid w:val="007B77BF"/>
    <w:rsid w:val="007C06C3"/>
    <w:rsid w:val="007C17D2"/>
    <w:rsid w:val="007C2198"/>
    <w:rsid w:val="007C21F1"/>
    <w:rsid w:val="007C245C"/>
    <w:rsid w:val="007C2BAE"/>
    <w:rsid w:val="007C30DB"/>
    <w:rsid w:val="007C35B3"/>
    <w:rsid w:val="007C39DD"/>
    <w:rsid w:val="007C539A"/>
    <w:rsid w:val="007C6402"/>
    <w:rsid w:val="007C6593"/>
    <w:rsid w:val="007C68A0"/>
    <w:rsid w:val="007C68A8"/>
    <w:rsid w:val="007C69CE"/>
    <w:rsid w:val="007C6D80"/>
    <w:rsid w:val="007C6F12"/>
    <w:rsid w:val="007C6F7B"/>
    <w:rsid w:val="007C7626"/>
    <w:rsid w:val="007C7C87"/>
    <w:rsid w:val="007C7E15"/>
    <w:rsid w:val="007D0D47"/>
    <w:rsid w:val="007D1000"/>
    <w:rsid w:val="007D1951"/>
    <w:rsid w:val="007D254E"/>
    <w:rsid w:val="007D355B"/>
    <w:rsid w:val="007D3B37"/>
    <w:rsid w:val="007D4DD4"/>
    <w:rsid w:val="007D5423"/>
    <w:rsid w:val="007D6F72"/>
    <w:rsid w:val="007D79F1"/>
    <w:rsid w:val="007D7F94"/>
    <w:rsid w:val="007E02A1"/>
    <w:rsid w:val="007E0648"/>
    <w:rsid w:val="007E09A4"/>
    <w:rsid w:val="007E1279"/>
    <w:rsid w:val="007E1F6D"/>
    <w:rsid w:val="007E2A1B"/>
    <w:rsid w:val="007E2ED8"/>
    <w:rsid w:val="007E3293"/>
    <w:rsid w:val="007E3D40"/>
    <w:rsid w:val="007E535E"/>
    <w:rsid w:val="007E54F2"/>
    <w:rsid w:val="007E55A3"/>
    <w:rsid w:val="007E5619"/>
    <w:rsid w:val="007E578C"/>
    <w:rsid w:val="007E58CB"/>
    <w:rsid w:val="007E5A19"/>
    <w:rsid w:val="007E6848"/>
    <w:rsid w:val="007E6E0C"/>
    <w:rsid w:val="007E749E"/>
    <w:rsid w:val="007E7C67"/>
    <w:rsid w:val="007F018F"/>
    <w:rsid w:val="007F0289"/>
    <w:rsid w:val="007F066E"/>
    <w:rsid w:val="007F0BC0"/>
    <w:rsid w:val="007F0C8D"/>
    <w:rsid w:val="007F0D20"/>
    <w:rsid w:val="007F1126"/>
    <w:rsid w:val="007F1D9C"/>
    <w:rsid w:val="007F224A"/>
    <w:rsid w:val="007F2638"/>
    <w:rsid w:val="007F290E"/>
    <w:rsid w:val="007F2986"/>
    <w:rsid w:val="007F3185"/>
    <w:rsid w:val="007F42CE"/>
    <w:rsid w:val="007F47C1"/>
    <w:rsid w:val="007F55BE"/>
    <w:rsid w:val="007F62AB"/>
    <w:rsid w:val="007F6961"/>
    <w:rsid w:val="007F6BB3"/>
    <w:rsid w:val="007F725F"/>
    <w:rsid w:val="007F7557"/>
    <w:rsid w:val="00800011"/>
    <w:rsid w:val="00800B1A"/>
    <w:rsid w:val="00801819"/>
    <w:rsid w:val="0080183F"/>
    <w:rsid w:val="00801B9F"/>
    <w:rsid w:val="00801DCE"/>
    <w:rsid w:val="00801E5D"/>
    <w:rsid w:val="0080267E"/>
    <w:rsid w:val="008031DE"/>
    <w:rsid w:val="00803572"/>
    <w:rsid w:val="008039A7"/>
    <w:rsid w:val="00803D12"/>
    <w:rsid w:val="00803E48"/>
    <w:rsid w:val="008040CD"/>
    <w:rsid w:val="008048BE"/>
    <w:rsid w:val="00805814"/>
    <w:rsid w:val="00806A83"/>
    <w:rsid w:val="00807982"/>
    <w:rsid w:val="00810079"/>
    <w:rsid w:val="008104DE"/>
    <w:rsid w:val="00810EFF"/>
    <w:rsid w:val="00810F65"/>
    <w:rsid w:val="0081139F"/>
    <w:rsid w:val="00811505"/>
    <w:rsid w:val="0081250B"/>
    <w:rsid w:val="00812B39"/>
    <w:rsid w:val="00812D38"/>
    <w:rsid w:val="00812E5F"/>
    <w:rsid w:val="00813775"/>
    <w:rsid w:val="00813849"/>
    <w:rsid w:val="00813E7E"/>
    <w:rsid w:val="0081431E"/>
    <w:rsid w:val="0081530B"/>
    <w:rsid w:val="00815B47"/>
    <w:rsid w:val="00815F0E"/>
    <w:rsid w:val="00816929"/>
    <w:rsid w:val="00816BC0"/>
    <w:rsid w:val="008174D1"/>
    <w:rsid w:val="0082020D"/>
    <w:rsid w:val="008203A0"/>
    <w:rsid w:val="00820728"/>
    <w:rsid w:val="0082137F"/>
    <w:rsid w:val="00821724"/>
    <w:rsid w:val="0082187C"/>
    <w:rsid w:val="00821F29"/>
    <w:rsid w:val="008230F0"/>
    <w:rsid w:val="00823217"/>
    <w:rsid w:val="00823C6B"/>
    <w:rsid w:val="00823ECD"/>
    <w:rsid w:val="008242F2"/>
    <w:rsid w:val="0082435F"/>
    <w:rsid w:val="00824CCD"/>
    <w:rsid w:val="00824ECE"/>
    <w:rsid w:val="008254FF"/>
    <w:rsid w:val="00825892"/>
    <w:rsid w:val="00826A86"/>
    <w:rsid w:val="00830B9E"/>
    <w:rsid w:val="008313B2"/>
    <w:rsid w:val="00832034"/>
    <w:rsid w:val="008320C8"/>
    <w:rsid w:val="00832574"/>
    <w:rsid w:val="00832965"/>
    <w:rsid w:val="00832CAE"/>
    <w:rsid w:val="00833C66"/>
    <w:rsid w:val="00833C6F"/>
    <w:rsid w:val="0083473F"/>
    <w:rsid w:val="008352F7"/>
    <w:rsid w:val="0083583B"/>
    <w:rsid w:val="00835DF8"/>
    <w:rsid w:val="00835F72"/>
    <w:rsid w:val="008361F7"/>
    <w:rsid w:val="00836300"/>
    <w:rsid w:val="00836635"/>
    <w:rsid w:val="0084045B"/>
    <w:rsid w:val="008436BE"/>
    <w:rsid w:val="00843B46"/>
    <w:rsid w:val="0084413A"/>
    <w:rsid w:val="00844FDB"/>
    <w:rsid w:val="0084641C"/>
    <w:rsid w:val="008466EC"/>
    <w:rsid w:val="00846A74"/>
    <w:rsid w:val="00846CA2"/>
    <w:rsid w:val="00846CC0"/>
    <w:rsid w:val="008471D9"/>
    <w:rsid w:val="00847A6F"/>
    <w:rsid w:val="00850011"/>
    <w:rsid w:val="008516AD"/>
    <w:rsid w:val="00851C9D"/>
    <w:rsid w:val="00853744"/>
    <w:rsid w:val="00854276"/>
    <w:rsid w:val="00855007"/>
    <w:rsid w:val="00855A9C"/>
    <w:rsid w:val="00855F69"/>
    <w:rsid w:val="008567A7"/>
    <w:rsid w:val="00857872"/>
    <w:rsid w:val="00860133"/>
    <w:rsid w:val="00860314"/>
    <w:rsid w:val="008604B1"/>
    <w:rsid w:val="00860A31"/>
    <w:rsid w:val="00860A86"/>
    <w:rsid w:val="0086156F"/>
    <w:rsid w:val="008617A7"/>
    <w:rsid w:val="00861AE9"/>
    <w:rsid w:val="00862260"/>
    <w:rsid w:val="0086266B"/>
    <w:rsid w:val="00864CD7"/>
    <w:rsid w:val="00864D98"/>
    <w:rsid w:val="00866195"/>
    <w:rsid w:val="00866245"/>
    <w:rsid w:val="008662CB"/>
    <w:rsid w:val="008665E8"/>
    <w:rsid w:val="00866E83"/>
    <w:rsid w:val="00871678"/>
    <w:rsid w:val="00871C03"/>
    <w:rsid w:val="00872D90"/>
    <w:rsid w:val="0087407C"/>
    <w:rsid w:val="008746D8"/>
    <w:rsid w:val="008752BD"/>
    <w:rsid w:val="008753C2"/>
    <w:rsid w:val="0087544B"/>
    <w:rsid w:val="00875EA4"/>
    <w:rsid w:val="00876CCC"/>
    <w:rsid w:val="00876D62"/>
    <w:rsid w:val="00877261"/>
    <w:rsid w:val="0087772F"/>
    <w:rsid w:val="008802D6"/>
    <w:rsid w:val="008804E2"/>
    <w:rsid w:val="00880525"/>
    <w:rsid w:val="00880F1B"/>
    <w:rsid w:val="00881016"/>
    <w:rsid w:val="008821AE"/>
    <w:rsid w:val="00882F88"/>
    <w:rsid w:val="0088362B"/>
    <w:rsid w:val="008839F9"/>
    <w:rsid w:val="00883A74"/>
    <w:rsid w:val="00883AFB"/>
    <w:rsid w:val="0088477B"/>
    <w:rsid w:val="008848F9"/>
    <w:rsid w:val="00884D59"/>
    <w:rsid w:val="00884F28"/>
    <w:rsid w:val="00885019"/>
    <w:rsid w:val="0088677A"/>
    <w:rsid w:val="008870FE"/>
    <w:rsid w:val="00887B89"/>
    <w:rsid w:val="008905A7"/>
    <w:rsid w:val="0089060E"/>
    <w:rsid w:val="00890703"/>
    <w:rsid w:val="00890EF0"/>
    <w:rsid w:val="008910AE"/>
    <w:rsid w:val="00891FB8"/>
    <w:rsid w:val="00892009"/>
    <w:rsid w:val="00893917"/>
    <w:rsid w:val="00893C57"/>
    <w:rsid w:val="008942D8"/>
    <w:rsid w:val="00894C62"/>
    <w:rsid w:val="00894FDC"/>
    <w:rsid w:val="00895718"/>
    <w:rsid w:val="00896DAD"/>
    <w:rsid w:val="00896ED8"/>
    <w:rsid w:val="00897108"/>
    <w:rsid w:val="00897760"/>
    <w:rsid w:val="00897DF0"/>
    <w:rsid w:val="008A01DE"/>
    <w:rsid w:val="008A173A"/>
    <w:rsid w:val="008A1E54"/>
    <w:rsid w:val="008A25F4"/>
    <w:rsid w:val="008A2889"/>
    <w:rsid w:val="008A3E4B"/>
    <w:rsid w:val="008A44F2"/>
    <w:rsid w:val="008A4805"/>
    <w:rsid w:val="008A5798"/>
    <w:rsid w:val="008A71B8"/>
    <w:rsid w:val="008A7821"/>
    <w:rsid w:val="008B05C4"/>
    <w:rsid w:val="008B0D3F"/>
    <w:rsid w:val="008B1729"/>
    <w:rsid w:val="008B1785"/>
    <w:rsid w:val="008B30F7"/>
    <w:rsid w:val="008B34E2"/>
    <w:rsid w:val="008B471C"/>
    <w:rsid w:val="008B5861"/>
    <w:rsid w:val="008B6569"/>
    <w:rsid w:val="008B724C"/>
    <w:rsid w:val="008B7984"/>
    <w:rsid w:val="008B7CFA"/>
    <w:rsid w:val="008C07F9"/>
    <w:rsid w:val="008C1865"/>
    <w:rsid w:val="008C281C"/>
    <w:rsid w:val="008C39C2"/>
    <w:rsid w:val="008C3D5D"/>
    <w:rsid w:val="008C3EAF"/>
    <w:rsid w:val="008C4AE4"/>
    <w:rsid w:val="008C5627"/>
    <w:rsid w:val="008C599F"/>
    <w:rsid w:val="008C5E8F"/>
    <w:rsid w:val="008C6F93"/>
    <w:rsid w:val="008C76D2"/>
    <w:rsid w:val="008D03FA"/>
    <w:rsid w:val="008D112C"/>
    <w:rsid w:val="008D1E53"/>
    <w:rsid w:val="008D266C"/>
    <w:rsid w:val="008D28D1"/>
    <w:rsid w:val="008D479B"/>
    <w:rsid w:val="008D4C53"/>
    <w:rsid w:val="008D5923"/>
    <w:rsid w:val="008E010C"/>
    <w:rsid w:val="008E0164"/>
    <w:rsid w:val="008E045F"/>
    <w:rsid w:val="008E0DE5"/>
    <w:rsid w:val="008E2766"/>
    <w:rsid w:val="008E2EC8"/>
    <w:rsid w:val="008E2ECD"/>
    <w:rsid w:val="008E2F07"/>
    <w:rsid w:val="008E32DE"/>
    <w:rsid w:val="008E3AE6"/>
    <w:rsid w:val="008E3C41"/>
    <w:rsid w:val="008E3FB2"/>
    <w:rsid w:val="008E4794"/>
    <w:rsid w:val="008E49FE"/>
    <w:rsid w:val="008E51BD"/>
    <w:rsid w:val="008E51CE"/>
    <w:rsid w:val="008E54BE"/>
    <w:rsid w:val="008E58A2"/>
    <w:rsid w:val="008E5B9E"/>
    <w:rsid w:val="008E6556"/>
    <w:rsid w:val="008E6AA1"/>
    <w:rsid w:val="008E6B71"/>
    <w:rsid w:val="008F023B"/>
    <w:rsid w:val="008F155E"/>
    <w:rsid w:val="008F1EB8"/>
    <w:rsid w:val="008F1F64"/>
    <w:rsid w:val="008F20F9"/>
    <w:rsid w:val="008F255E"/>
    <w:rsid w:val="008F282A"/>
    <w:rsid w:val="008F2DAE"/>
    <w:rsid w:val="008F3CB8"/>
    <w:rsid w:val="008F4B10"/>
    <w:rsid w:val="008F51A8"/>
    <w:rsid w:val="008F5995"/>
    <w:rsid w:val="008F5A4C"/>
    <w:rsid w:val="008F702D"/>
    <w:rsid w:val="008F7962"/>
    <w:rsid w:val="008F7DA4"/>
    <w:rsid w:val="008F7EE5"/>
    <w:rsid w:val="00900D26"/>
    <w:rsid w:val="00901FE8"/>
    <w:rsid w:val="00902162"/>
    <w:rsid w:val="00904568"/>
    <w:rsid w:val="00904976"/>
    <w:rsid w:val="0090499A"/>
    <w:rsid w:val="009063C9"/>
    <w:rsid w:val="009066DC"/>
    <w:rsid w:val="00906759"/>
    <w:rsid w:val="0091023B"/>
    <w:rsid w:val="00910B63"/>
    <w:rsid w:val="009110A0"/>
    <w:rsid w:val="00912739"/>
    <w:rsid w:val="009127C3"/>
    <w:rsid w:val="00913D79"/>
    <w:rsid w:val="00915035"/>
    <w:rsid w:val="0091541B"/>
    <w:rsid w:val="00915866"/>
    <w:rsid w:val="00915ED9"/>
    <w:rsid w:val="00916FD7"/>
    <w:rsid w:val="009171BD"/>
    <w:rsid w:val="009202B2"/>
    <w:rsid w:val="00920343"/>
    <w:rsid w:val="00920D93"/>
    <w:rsid w:val="0092171E"/>
    <w:rsid w:val="009217F9"/>
    <w:rsid w:val="00921BD3"/>
    <w:rsid w:val="00922A54"/>
    <w:rsid w:val="00923252"/>
    <w:rsid w:val="009237F3"/>
    <w:rsid w:val="009239D0"/>
    <w:rsid w:val="00923A78"/>
    <w:rsid w:val="00924864"/>
    <w:rsid w:val="009255C7"/>
    <w:rsid w:val="00926250"/>
    <w:rsid w:val="00926531"/>
    <w:rsid w:val="0092661F"/>
    <w:rsid w:val="0092682D"/>
    <w:rsid w:val="0093070A"/>
    <w:rsid w:val="00931375"/>
    <w:rsid w:val="00931C08"/>
    <w:rsid w:val="00931C3E"/>
    <w:rsid w:val="009323EC"/>
    <w:rsid w:val="009326B6"/>
    <w:rsid w:val="00933DF7"/>
    <w:rsid w:val="00936971"/>
    <w:rsid w:val="00936D84"/>
    <w:rsid w:val="009375DA"/>
    <w:rsid w:val="0093784B"/>
    <w:rsid w:val="00940B89"/>
    <w:rsid w:val="00941731"/>
    <w:rsid w:val="00941C69"/>
    <w:rsid w:val="009425F4"/>
    <w:rsid w:val="009433D9"/>
    <w:rsid w:val="00943D22"/>
    <w:rsid w:val="00943EFF"/>
    <w:rsid w:val="00944AD1"/>
    <w:rsid w:val="009459C4"/>
    <w:rsid w:val="00945EEF"/>
    <w:rsid w:val="00945F46"/>
    <w:rsid w:val="0094665C"/>
    <w:rsid w:val="00946BD8"/>
    <w:rsid w:val="00950A62"/>
    <w:rsid w:val="00950F32"/>
    <w:rsid w:val="00951D58"/>
    <w:rsid w:val="00951FF4"/>
    <w:rsid w:val="009534A5"/>
    <w:rsid w:val="009547AF"/>
    <w:rsid w:val="00955212"/>
    <w:rsid w:val="009556E7"/>
    <w:rsid w:val="00956B86"/>
    <w:rsid w:val="00956EE0"/>
    <w:rsid w:val="00957846"/>
    <w:rsid w:val="00957AE9"/>
    <w:rsid w:val="00961EF9"/>
    <w:rsid w:val="00961F85"/>
    <w:rsid w:val="0096277D"/>
    <w:rsid w:val="00962A9E"/>
    <w:rsid w:val="00965533"/>
    <w:rsid w:val="00965D25"/>
    <w:rsid w:val="009664F3"/>
    <w:rsid w:val="00966760"/>
    <w:rsid w:val="00966A15"/>
    <w:rsid w:val="0096758A"/>
    <w:rsid w:val="00967821"/>
    <w:rsid w:val="00967AFF"/>
    <w:rsid w:val="00970F4A"/>
    <w:rsid w:val="00971598"/>
    <w:rsid w:val="009718A6"/>
    <w:rsid w:val="009718D7"/>
    <w:rsid w:val="00971C50"/>
    <w:rsid w:val="009729F2"/>
    <w:rsid w:val="00972B50"/>
    <w:rsid w:val="00973ACD"/>
    <w:rsid w:val="00973BA2"/>
    <w:rsid w:val="0097424E"/>
    <w:rsid w:val="00974857"/>
    <w:rsid w:val="00975160"/>
    <w:rsid w:val="00975864"/>
    <w:rsid w:val="00975B67"/>
    <w:rsid w:val="009761F7"/>
    <w:rsid w:val="0097715A"/>
    <w:rsid w:val="009775E8"/>
    <w:rsid w:val="00977D1D"/>
    <w:rsid w:val="0098036D"/>
    <w:rsid w:val="00980BE4"/>
    <w:rsid w:val="009815D6"/>
    <w:rsid w:val="009817D5"/>
    <w:rsid w:val="00982ACB"/>
    <w:rsid w:val="00983714"/>
    <w:rsid w:val="00984801"/>
    <w:rsid w:val="0098582A"/>
    <w:rsid w:val="00986B04"/>
    <w:rsid w:val="00986B60"/>
    <w:rsid w:val="00986F2A"/>
    <w:rsid w:val="00987528"/>
    <w:rsid w:val="00987820"/>
    <w:rsid w:val="00991582"/>
    <w:rsid w:val="00991A5B"/>
    <w:rsid w:val="00992136"/>
    <w:rsid w:val="00992284"/>
    <w:rsid w:val="00992C4A"/>
    <w:rsid w:val="00992CC6"/>
    <w:rsid w:val="00992CE1"/>
    <w:rsid w:val="009934A4"/>
    <w:rsid w:val="00993D4B"/>
    <w:rsid w:val="0099406F"/>
    <w:rsid w:val="009945C0"/>
    <w:rsid w:val="009955E3"/>
    <w:rsid w:val="0099630B"/>
    <w:rsid w:val="00996D14"/>
    <w:rsid w:val="00997008"/>
    <w:rsid w:val="009972EE"/>
    <w:rsid w:val="00997C73"/>
    <w:rsid w:val="00997CAC"/>
    <w:rsid w:val="00997D2F"/>
    <w:rsid w:val="009A0E02"/>
    <w:rsid w:val="009A14E2"/>
    <w:rsid w:val="009A17B1"/>
    <w:rsid w:val="009A2866"/>
    <w:rsid w:val="009A2B62"/>
    <w:rsid w:val="009A37F6"/>
    <w:rsid w:val="009A393C"/>
    <w:rsid w:val="009A462E"/>
    <w:rsid w:val="009A46D6"/>
    <w:rsid w:val="009A4824"/>
    <w:rsid w:val="009A53E8"/>
    <w:rsid w:val="009A5434"/>
    <w:rsid w:val="009A5611"/>
    <w:rsid w:val="009A6727"/>
    <w:rsid w:val="009A687B"/>
    <w:rsid w:val="009A6E75"/>
    <w:rsid w:val="009A7730"/>
    <w:rsid w:val="009B0C7A"/>
    <w:rsid w:val="009B15F4"/>
    <w:rsid w:val="009B183F"/>
    <w:rsid w:val="009B209A"/>
    <w:rsid w:val="009B2511"/>
    <w:rsid w:val="009B2E64"/>
    <w:rsid w:val="009B3413"/>
    <w:rsid w:val="009B3E1D"/>
    <w:rsid w:val="009B5A9F"/>
    <w:rsid w:val="009B6FAF"/>
    <w:rsid w:val="009B7634"/>
    <w:rsid w:val="009B7635"/>
    <w:rsid w:val="009B794A"/>
    <w:rsid w:val="009B7FEC"/>
    <w:rsid w:val="009C051E"/>
    <w:rsid w:val="009C09F1"/>
    <w:rsid w:val="009C11A4"/>
    <w:rsid w:val="009C1795"/>
    <w:rsid w:val="009C1D0C"/>
    <w:rsid w:val="009C2A5D"/>
    <w:rsid w:val="009C3760"/>
    <w:rsid w:val="009C3FCA"/>
    <w:rsid w:val="009C4D20"/>
    <w:rsid w:val="009C6E4C"/>
    <w:rsid w:val="009C7D1E"/>
    <w:rsid w:val="009D02A3"/>
    <w:rsid w:val="009D4A5C"/>
    <w:rsid w:val="009D53C2"/>
    <w:rsid w:val="009D5580"/>
    <w:rsid w:val="009D61FA"/>
    <w:rsid w:val="009D65E3"/>
    <w:rsid w:val="009D65F7"/>
    <w:rsid w:val="009D6C17"/>
    <w:rsid w:val="009D7C68"/>
    <w:rsid w:val="009E06DA"/>
    <w:rsid w:val="009E0AC9"/>
    <w:rsid w:val="009E0AD8"/>
    <w:rsid w:val="009E1173"/>
    <w:rsid w:val="009E1A1B"/>
    <w:rsid w:val="009E1B48"/>
    <w:rsid w:val="009E202F"/>
    <w:rsid w:val="009E2151"/>
    <w:rsid w:val="009E221D"/>
    <w:rsid w:val="009E2CE3"/>
    <w:rsid w:val="009E2D30"/>
    <w:rsid w:val="009E2F21"/>
    <w:rsid w:val="009E3769"/>
    <w:rsid w:val="009E3AB5"/>
    <w:rsid w:val="009E3E0E"/>
    <w:rsid w:val="009E424A"/>
    <w:rsid w:val="009E44D6"/>
    <w:rsid w:val="009E493F"/>
    <w:rsid w:val="009E4A87"/>
    <w:rsid w:val="009E5969"/>
    <w:rsid w:val="009E6C70"/>
    <w:rsid w:val="009E7290"/>
    <w:rsid w:val="009F2832"/>
    <w:rsid w:val="009F2FF5"/>
    <w:rsid w:val="009F2FFA"/>
    <w:rsid w:val="009F347E"/>
    <w:rsid w:val="009F4957"/>
    <w:rsid w:val="009F4A95"/>
    <w:rsid w:val="009F5808"/>
    <w:rsid w:val="009F5FCA"/>
    <w:rsid w:val="009F657B"/>
    <w:rsid w:val="009F7336"/>
    <w:rsid w:val="009F78E7"/>
    <w:rsid w:val="00A033BE"/>
    <w:rsid w:val="00A038D7"/>
    <w:rsid w:val="00A03AD2"/>
    <w:rsid w:val="00A03B10"/>
    <w:rsid w:val="00A05D36"/>
    <w:rsid w:val="00A06C75"/>
    <w:rsid w:val="00A06E63"/>
    <w:rsid w:val="00A07089"/>
    <w:rsid w:val="00A072FA"/>
    <w:rsid w:val="00A073A0"/>
    <w:rsid w:val="00A078A8"/>
    <w:rsid w:val="00A1153E"/>
    <w:rsid w:val="00A11F47"/>
    <w:rsid w:val="00A12A58"/>
    <w:rsid w:val="00A132C0"/>
    <w:rsid w:val="00A13523"/>
    <w:rsid w:val="00A13A90"/>
    <w:rsid w:val="00A13A99"/>
    <w:rsid w:val="00A1409E"/>
    <w:rsid w:val="00A14215"/>
    <w:rsid w:val="00A144FB"/>
    <w:rsid w:val="00A15340"/>
    <w:rsid w:val="00A15C91"/>
    <w:rsid w:val="00A15F12"/>
    <w:rsid w:val="00A16578"/>
    <w:rsid w:val="00A16802"/>
    <w:rsid w:val="00A16B52"/>
    <w:rsid w:val="00A16D9E"/>
    <w:rsid w:val="00A171C0"/>
    <w:rsid w:val="00A176FB"/>
    <w:rsid w:val="00A17C3A"/>
    <w:rsid w:val="00A20043"/>
    <w:rsid w:val="00A21CF6"/>
    <w:rsid w:val="00A229E3"/>
    <w:rsid w:val="00A22E49"/>
    <w:rsid w:val="00A22F17"/>
    <w:rsid w:val="00A23E81"/>
    <w:rsid w:val="00A246EB"/>
    <w:rsid w:val="00A24F21"/>
    <w:rsid w:val="00A25054"/>
    <w:rsid w:val="00A25473"/>
    <w:rsid w:val="00A2657F"/>
    <w:rsid w:val="00A26661"/>
    <w:rsid w:val="00A268F0"/>
    <w:rsid w:val="00A272DE"/>
    <w:rsid w:val="00A27A80"/>
    <w:rsid w:val="00A314B7"/>
    <w:rsid w:val="00A31DB2"/>
    <w:rsid w:val="00A31EBB"/>
    <w:rsid w:val="00A32A88"/>
    <w:rsid w:val="00A3312D"/>
    <w:rsid w:val="00A331AD"/>
    <w:rsid w:val="00A33D9C"/>
    <w:rsid w:val="00A34B49"/>
    <w:rsid w:val="00A35C78"/>
    <w:rsid w:val="00A36835"/>
    <w:rsid w:val="00A3728C"/>
    <w:rsid w:val="00A37470"/>
    <w:rsid w:val="00A3772A"/>
    <w:rsid w:val="00A37E57"/>
    <w:rsid w:val="00A40364"/>
    <w:rsid w:val="00A40448"/>
    <w:rsid w:val="00A4097F"/>
    <w:rsid w:val="00A40D1A"/>
    <w:rsid w:val="00A41586"/>
    <w:rsid w:val="00A4199A"/>
    <w:rsid w:val="00A419B7"/>
    <w:rsid w:val="00A4242B"/>
    <w:rsid w:val="00A425A3"/>
    <w:rsid w:val="00A43E76"/>
    <w:rsid w:val="00A44FA4"/>
    <w:rsid w:val="00A452CE"/>
    <w:rsid w:val="00A467CA"/>
    <w:rsid w:val="00A473DA"/>
    <w:rsid w:val="00A5045B"/>
    <w:rsid w:val="00A50957"/>
    <w:rsid w:val="00A50EB8"/>
    <w:rsid w:val="00A51658"/>
    <w:rsid w:val="00A519E9"/>
    <w:rsid w:val="00A52419"/>
    <w:rsid w:val="00A536B7"/>
    <w:rsid w:val="00A536FF"/>
    <w:rsid w:val="00A54B37"/>
    <w:rsid w:val="00A54C9D"/>
    <w:rsid w:val="00A54FAF"/>
    <w:rsid w:val="00A55593"/>
    <w:rsid w:val="00A56092"/>
    <w:rsid w:val="00A560A2"/>
    <w:rsid w:val="00A562E1"/>
    <w:rsid w:val="00A57456"/>
    <w:rsid w:val="00A5791B"/>
    <w:rsid w:val="00A60818"/>
    <w:rsid w:val="00A60893"/>
    <w:rsid w:val="00A60CF7"/>
    <w:rsid w:val="00A60D6F"/>
    <w:rsid w:val="00A61945"/>
    <w:rsid w:val="00A61978"/>
    <w:rsid w:val="00A61A27"/>
    <w:rsid w:val="00A61CC0"/>
    <w:rsid w:val="00A61DDB"/>
    <w:rsid w:val="00A62FCC"/>
    <w:rsid w:val="00A63644"/>
    <w:rsid w:val="00A63797"/>
    <w:rsid w:val="00A64D7F"/>
    <w:rsid w:val="00A658AB"/>
    <w:rsid w:val="00A665C5"/>
    <w:rsid w:val="00A66731"/>
    <w:rsid w:val="00A67B97"/>
    <w:rsid w:val="00A67FC7"/>
    <w:rsid w:val="00A703EE"/>
    <w:rsid w:val="00A706B8"/>
    <w:rsid w:val="00A71102"/>
    <w:rsid w:val="00A711C1"/>
    <w:rsid w:val="00A71911"/>
    <w:rsid w:val="00A71C4B"/>
    <w:rsid w:val="00A72F18"/>
    <w:rsid w:val="00A737CB"/>
    <w:rsid w:val="00A73EAD"/>
    <w:rsid w:val="00A749E0"/>
    <w:rsid w:val="00A74C88"/>
    <w:rsid w:val="00A7556F"/>
    <w:rsid w:val="00A755F8"/>
    <w:rsid w:val="00A75899"/>
    <w:rsid w:val="00A75C62"/>
    <w:rsid w:val="00A75CBA"/>
    <w:rsid w:val="00A76384"/>
    <w:rsid w:val="00A766B4"/>
    <w:rsid w:val="00A81167"/>
    <w:rsid w:val="00A81270"/>
    <w:rsid w:val="00A8134E"/>
    <w:rsid w:val="00A825AB"/>
    <w:rsid w:val="00A82A33"/>
    <w:rsid w:val="00A830DD"/>
    <w:rsid w:val="00A834F8"/>
    <w:rsid w:val="00A84172"/>
    <w:rsid w:val="00A84660"/>
    <w:rsid w:val="00A85587"/>
    <w:rsid w:val="00A86971"/>
    <w:rsid w:val="00A86CFA"/>
    <w:rsid w:val="00A87DD6"/>
    <w:rsid w:val="00A91077"/>
    <w:rsid w:val="00A915B4"/>
    <w:rsid w:val="00A91D15"/>
    <w:rsid w:val="00A91E3B"/>
    <w:rsid w:val="00A924FF"/>
    <w:rsid w:val="00A92DAD"/>
    <w:rsid w:val="00A932BB"/>
    <w:rsid w:val="00A9338E"/>
    <w:rsid w:val="00A93860"/>
    <w:rsid w:val="00A93BDA"/>
    <w:rsid w:val="00A94144"/>
    <w:rsid w:val="00A952EB"/>
    <w:rsid w:val="00A955B4"/>
    <w:rsid w:val="00A95B18"/>
    <w:rsid w:val="00A96349"/>
    <w:rsid w:val="00A96676"/>
    <w:rsid w:val="00A97D32"/>
    <w:rsid w:val="00AA0535"/>
    <w:rsid w:val="00AA17BE"/>
    <w:rsid w:val="00AA1811"/>
    <w:rsid w:val="00AA2039"/>
    <w:rsid w:val="00AA23CB"/>
    <w:rsid w:val="00AA2744"/>
    <w:rsid w:val="00AA276B"/>
    <w:rsid w:val="00AA3822"/>
    <w:rsid w:val="00AA61B1"/>
    <w:rsid w:val="00AA6871"/>
    <w:rsid w:val="00AA6C49"/>
    <w:rsid w:val="00AA72B0"/>
    <w:rsid w:val="00AB0339"/>
    <w:rsid w:val="00AB04A1"/>
    <w:rsid w:val="00AB0857"/>
    <w:rsid w:val="00AB27D4"/>
    <w:rsid w:val="00AB288D"/>
    <w:rsid w:val="00AB2893"/>
    <w:rsid w:val="00AB2AB6"/>
    <w:rsid w:val="00AB2BF3"/>
    <w:rsid w:val="00AB3201"/>
    <w:rsid w:val="00AB48E9"/>
    <w:rsid w:val="00AB51E2"/>
    <w:rsid w:val="00AB5AA5"/>
    <w:rsid w:val="00AB65E0"/>
    <w:rsid w:val="00AB71A3"/>
    <w:rsid w:val="00AB7545"/>
    <w:rsid w:val="00AB7B39"/>
    <w:rsid w:val="00AB7E76"/>
    <w:rsid w:val="00AC0BBA"/>
    <w:rsid w:val="00AC0FE3"/>
    <w:rsid w:val="00AC1352"/>
    <w:rsid w:val="00AC17FE"/>
    <w:rsid w:val="00AC1900"/>
    <w:rsid w:val="00AC1ADE"/>
    <w:rsid w:val="00AC1B0B"/>
    <w:rsid w:val="00AC1D84"/>
    <w:rsid w:val="00AC32A4"/>
    <w:rsid w:val="00AC32E0"/>
    <w:rsid w:val="00AC34C5"/>
    <w:rsid w:val="00AC3B85"/>
    <w:rsid w:val="00AC544E"/>
    <w:rsid w:val="00AC5B17"/>
    <w:rsid w:val="00AC5EAD"/>
    <w:rsid w:val="00AC71AD"/>
    <w:rsid w:val="00AD14BB"/>
    <w:rsid w:val="00AD1B9A"/>
    <w:rsid w:val="00AD3550"/>
    <w:rsid w:val="00AD3E38"/>
    <w:rsid w:val="00AD40D5"/>
    <w:rsid w:val="00AD5060"/>
    <w:rsid w:val="00AD564A"/>
    <w:rsid w:val="00AD6210"/>
    <w:rsid w:val="00AD69F2"/>
    <w:rsid w:val="00AD7A19"/>
    <w:rsid w:val="00AE0A6A"/>
    <w:rsid w:val="00AE0AF7"/>
    <w:rsid w:val="00AE0F7B"/>
    <w:rsid w:val="00AE2637"/>
    <w:rsid w:val="00AE2D92"/>
    <w:rsid w:val="00AE32BD"/>
    <w:rsid w:val="00AE334C"/>
    <w:rsid w:val="00AE4292"/>
    <w:rsid w:val="00AE467C"/>
    <w:rsid w:val="00AE57E3"/>
    <w:rsid w:val="00AE5884"/>
    <w:rsid w:val="00AE6410"/>
    <w:rsid w:val="00AE65C5"/>
    <w:rsid w:val="00AE6708"/>
    <w:rsid w:val="00AE6B8C"/>
    <w:rsid w:val="00AE7173"/>
    <w:rsid w:val="00AE78E7"/>
    <w:rsid w:val="00AF0027"/>
    <w:rsid w:val="00AF0561"/>
    <w:rsid w:val="00AF09CB"/>
    <w:rsid w:val="00AF1926"/>
    <w:rsid w:val="00AF1BC7"/>
    <w:rsid w:val="00AF2264"/>
    <w:rsid w:val="00AF22A8"/>
    <w:rsid w:val="00AF244F"/>
    <w:rsid w:val="00AF29DE"/>
    <w:rsid w:val="00AF34D7"/>
    <w:rsid w:val="00AF394F"/>
    <w:rsid w:val="00AF4210"/>
    <w:rsid w:val="00AF42AE"/>
    <w:rsid w:val="00AF4605"/>
    <w:rsid w:val="00AF5182"/>
    <w:rsid w:val="00AF54D3"/>
    <w:rsid w:val="00AF5BE6"/>
    <w:rsid w:val="00AF67E5"/>
    <w:rsid w:val="00AF6808"/>
    <w:rsid w:val="00AF6977"/>
    <w:rsid w:val="00AF6C3E"/>
    <w:rsid w:val="00AF7623"/>
    <w:rsid w:val="00AF7728"/>
    <w:rsid w:val="00AF7D13"/>
    <w:rsid w:val="00AF7DF1"/>
    <w:rsid w:val="00AF7F83"/>
    <w:rsid w:val="00B008C9"/>
    <w:rsid w:val="00B0092A"/>
    <w:rsid w:val="00B00E52"/>
    <w:rsid w:val="00B00F01"/>
    <w:rsid w:val="00B03ED3"/>
    <w:rsid w:val="00B0432E"/>
    <w:rsid w:val="00B04528"/>
    <w:rsid w:val="00B04EAE"/>
    <w:rsid w:val="00B06EF4"/>
    <w:rsid w:val="00B06F22"/>
    <w:rsid w:val="00B07B81"/>
    <w:rsid w:val="00B10DCB"/>
    <w:rsid w:val="00B11732"/>
    <w:rsid w:val="00B117CB"/>
    <w:rsid w:val="00B11824"/>
    <w:rsid w:val="00B12523"/>
    <w:rsid w:val="00B12CCE"/>
    <w:rsid w:val="00B12D41"/>
    <w:rsid w:val="00B1326C"/>
    <w:rsid w:val="00B13C49"/>
    <w:rsid w:val="00B13E55"/>
    <w:rsid w:val="00B13F0F"/>
    <w:rsid w:val="00B13F7D"/>
    <w:rsid w:val="00B13F9D"/>
    <w:rsid w:val="00B15566"/>
    <w:rsid w:val="00B15C8F"/>
    <w:rsid w:val="00B16097"/>
    <w:rsid w:val="00B164ED"/>
    <w:rsid w:val="00B170D6"/>
    <w:rsid w:val="00B17921"/>
    <w:rsid w:val="00B20130"/>
    <w:rsid w:val="00B205B8"/>
    <w:rsid w:val="00B207A9"/>
    <w:rsid w:val="00B21160"/>
    <w:rsid w:val="00B21604"/>
    <w:rsid w:val="00B21FCD"/>
    <w:rsid w:val="00B22795"/>
    <w:rsid w:val="00B228B5"/>
    <w:rsid w:val="00B22DCE"/>
    <w:rsid w:val="00B22F01"/>
    <w:rsid w:val="00B24259"/>
    <w:rsid w:val="00B243CC"/>
    <w:rsid w:val="00B245B8"/>
    <w:rsid w:val="00B24918"/>
    <w:rsid w:val="00B24D75"/>
    <w:rsid w:val="00B255D6"/>
    <w:rsid w:val="00B2570C"/>
    <w:rsid w:val="00B25F65"/>
    <w:rsid w:val="00B26020"/>
    <w:rsid w:val="00B2662A"/>
    <w:rsid w:val="00B2678E"/>
    <w:rsid w:val="00B26909"/>
    <w:rsid w:val="00B26BFA"/>
    <w:rsid w:val="00B27BD4"/>
    <w:rsid w:val="00B300D4"/>
    <w:rsid w:val="00B309B9"/>
    <w:rsid w:val="00B31BAA"/>
    <w:rsid w:val="00B32BB0"/>
    <w:rsid w:val="00B32D7D"/>
    <w:rsid w:val="00B3303B"/>
    <w:rsid w:val="00B33C88"/>
    <w:rsid w:val="00B34312"/>
    <w:rsid w:val="00B35938"/>
    <w:rsid w:val="00B363A0"/>
    <w:rsid w:val="00B3646F"/>
    <w:rsid w:val="00B36AB7"/>
    <w:rsid w:val="00B37900"/>
    <w:rsid w:val="00B4031E"/>
    <w:rsid w:val="00B405DA"/>
    <w:rsid w:val="00B40613"/>
    <w:rsid w:val="00B40ABE"/>
    <w:rsid w:val="00B40DA7"/>
    <w:rsid w:val="00B41195"/>
    <w:rsid w:val="00B41C5A"/>
    <w:rsid w:val="00B426B8"/>
    <w:rsid w:val="00B42AE3"/>
    <w:rsid w:val="00B42FF0"/>
    <w:rsid w:val="00B43B0E"/>
    <w:rsid w:val="00B44AC0"/>
    <w:rsid w:val="00B44E94"/>
    <w:rsid w:val="00B452F5"/>
    <w:rsid w:val="00B46BD9"/>
    <w:rsid w:val="00B46E63"/>
    <w:rsid w:val="00B50B05"/>
    <w:rsid w:val="00B50C3B"/>
    <w:rsid w:val="00B50D1F"/>
    <w:rsid w:val="00B518FA"/>
    <w:rsid w:val="00B5396E"/>
    <w:rsid w:val="00B53C61"/>
    <w:rsid w:val="00B5491B"/>
    <w:rsid w:val="00B5594A"/>
    <w:rsid w:val="00B562CE"/>
    <w:rsid w:val="00B56712"/>
    <w:rsid w:val="00B567C3"/>
    <w:rsid w:val="00B56AE5"/>
    <w:rsid w:val="00B56E3D"/>
    <w:rsid w:val="00B57325"/>
    <w:rsid w:val="00B57F36"/>
    <w:rsid w:val="00B603AF"/>
    <w:rsid w:val="00B6065C"/>
    <w:rsid w:val="00B6141E"/>
    <w:rsid w:val="00B6208C"/>
    <w:rsid w:val="00B636BA"/>
    <w:rsid w:val="00B643D5"/>
    <w:rsid w:val="00B65069"/>
    <w:rsid w:val="00B65F7E"/>
    <w:rsid w:val="00B6648C"/>
    <w:rsid w:val="00B664C7"/>
    <w:rsid w:val="00B66AA4"/>
    <w:rsid w:val="00B6707F"/>
    <w:rsid w:val="00B701D4"/>
    <w:rsid w:val="00B707B1"/>
    <w:rsid w:val="00B7084F"/>
    <w:rsid w:val="00B711CC"/>
    <w:rsid w:val="00B71910"/>
    <w:rsid w:val="00B7193C"/>
    <w:rsid w:val="00B72D8B"/>
    <w:rsid w:val="00B73C47"/>
    <w:rsid w:val="00B73EA7"/>
    <w:rsid w:val="00B746C8"/>
    <w:rsid w:val="00B74BF8"/>
    <w:rsid w:val="00B750F0"/>
    <w:rsid w:val="00B75335"/>
    <w:rsid w:val="00B7611A"/>
    <w:rsid w:val="00B7666C"/>
    <w:rsid w:val="00B769DA"/>
    <w:rsid w:val="00B77016"/>
    <w:rsid w:val="00B77092"/>
    <w:rsid w:val="00B80684"/>
    <w:rsid w:val="00B8141F"/>
    <w:rsid w:val="00B81958"/>
    <w:rsid w:val="00B8262E"/>
    <w:rsid w:val="00B83E37"/>
    <w:rsid w:val="00B83EDE"/>
    <w:rsid w:val="00B84DE3"/>
    <w:rsid w:val="00B8546F"/>
    <w:rsid w:val="00B85C91"/>
    <w:rsid w:val="00B8681D"/>
    <w:rsid w:val="00B87720"/>
    <w:rsid w:val="00B877CB"/>
    <w:rsid w:val="00B90434"/>
    <w:rsid w:val="00B90BC2"/>
    <w:rsid w:val="00B91081"/>
    <w:rsid w:val="00B9160D"/>
    <w:rsid w:val="00B91AE6"/>
    <w:rsid w:val="00B93507"/>
    <w:rsid w:val="00B93EFC"/>
    <w:rsid w:val="00B949F0"/>
    <w:rsid w:val="00B94E95"/>
    <w:rsid w:val="00B94FF6"/>
    <w:rsid w:val="00B951C1"/>
    <w:rsid w:val="00B953B9"/>
    <w:rsid w:val="00B95C27"/>
    <w:rsid w:val="00B977AA"/>
    <w:rsid w:val="00BA0264"/>
    <w:rsid w:val="00BA1206"/>
    <w:rsid w:val="00BA1BB3"/>
    <w:rsid w:val="00BA1BBD"/>
    <w:rsid w:val="00BA1FA5"/>
    <w:rsid w:val="00BA220F"/>
    <w:rsid w:val="00BA27EC"/>
    <w:rsid w:val="00BA28ED"/>
    <w:rsid w:val="00BA3974"/>
    <w:rsid w:val="00BA3F1E"/>
    <w:rsid w:val="00BA54FF"/>
    <w:rsid w:val="00BA5D65"/>
    <w:rsid w:val="00BA6B1B"/>
    <w:rsid w:val="00BA7428"/>
    <w:rsid w:val="00BA77EE"/>
    <w:rsid w:val="00BA7D80"/>
    <w:rsid w:val="00BA7F08"/>
    <w:rsid w:val="00BB0511"/>
    <w:rsid w:val="00BB0932"/>
    <w:rsid w:val="00BB0CC3"/>
    <w:rsid w:val="00BB0DEE"/>
    <w:rsid w:val="00BB1FF8"/>
    <w:rsid w:val="00BB2495"/>
    <w:rsid w:val="00BB2773"/>
    <w:rsid w:val="00BB2790"/>
    <w:rsid w:val="00BB2BF8"/>
    <w:rsid w:val="00BB2F36"/>
    <w:rsid w:val="00BB2F7D"/>
    <w:rsid w:val="00BB349D"/>
    <w:rsid w:val="00BB4B3B"/>
    <w:rsid w:val="00BB5603"/>
    <w:rsid w:val="00BB61BE"/>
    <w:rsid w:val="00BB62F7"/>
    <w:rsid w:val="00BB65BC"/>
    <w:rsid w:val="00BB7968"/>
    <w:rsid w:val="00BB7E15"/>
    <w:rsid w:val="00BC0509"/>
    <w:rsid w:val="00BC0789"/>
    <w:rsid w:val="00BC0D7C"/>
    <w:rsid w:val="00BC0E9D"/>
    <w:rsid w:val="00BC108B"/>
    <w:rsid w:val="00BC1BAB"/>
    <w:rsid w:val="00BC20DC"/>
    <w:rsid w:val="00BC238E"/>
    <w:rsid w:val="00BC2F17"/>
    <w:rsid w:val="00BC3216"/>
    <w:rsid w:val="00BC33B9"/>
    <w:rsid w:val="00BC4A0B"/>
    <w:rsid w:val="00BC4B9B"/>
    <w:rsid w:val="00BC5009"/>
    <w:rsid w:val="00BC50EF"/>
    <w:rsid w:val="00BC59EC"/>
    <w:rsid w:val="00BC5D0A"/>
    <w:rsid w:val="00BC6087"/>
    <w:rsid w:val="00BC6391"/>
    <w:rsid w:val="00BC6955"/>
    <w:rsid w:val="00BC6A51"/>
    <w:rsid w:val="00BC6CDE"/>
    <w:rsid w:val="00BC7AFC"/>
    <w:rsid w:val="00BD093F"/>
    <w:rsid w:val="00BD0ABB"/>
    <w:rsid w:val="00BD1D76"/>
    <w:rsid w:val="00BD22E7"/>
    <w:rsid w:val="00BD3D0F"/>
    <w:rsid w:val="00BD3ED7"/>
    <w:rsid w:val="00BD3F46"/>
    <w:rsid w:val="00BD4585"/>
    <w:rsid w:val="00BD639B"/>
    <w:rsid w:val="00BD6428"/>
    <w:rsid w:val="00BD6AA4"/>
    <w:rsid w:val="00BD6C0D"/>
    <w:rsid w:val="00BD6E01"/>
    <w:rsid w:val="00BD6E7B"/>
    <w:rsid w:val="00BD7A39"/>
    <w:rsid w:val="00BD7A71"/>
    <w:rsid w:val="00BE0CC9"/>
    <w:rsid w:val="00BE0FE5"/>
    <w:rsid w:val="00BE1195"/>
    <w:rsid w:val="00BE2153"/>
    <w:rsid w:val="00BE25CF"/>
    <w:rsid w:val="00BE2B40"/>
    <w:rsid w:val="00BE3027"/>
    <w:rsid w:val="00BE3040"/>
    <w:rsid w:val="00BE33D8"/>
    <w:rsid w:val="00BE3F05"/>
    <w:rsid w:val="00BE5190"/>
    <w:rsid w:val="00BE5F7B"/>
    <w:rsid w:val="00BE6E46"/>
    <w:rsid w:val="00BE7003"/>
    <w:rsid w:val="00BF024E"/>
    <w:rsid w:val="00BF267B"/>
    <w:rsid w:val="00BF274D"/>
    <w:rsid w:val="00BF2B41"/>
    <w:rsid w:val="00BF2D51"/>
    <w:rsid w:val="00BF369A"/>
    <w:rsid w:val="00BF37F5"/>
    <w:rsid w:val="00BF4256"/>
    <w:rsid w:val="00BF4A5B"/>
    <w:rsid w:val="00BF4F3D"/>
    <w:rsid w:val="00BF53EB"/>
    <w:rsid w:val="00BF6213"/>
    <w:rsid w:val="00BF7A28"/>
    <w:rsid w:val="00C0033A"/>
    <w:rsid w:val="00C00466"/>
    <w:rsid w:val="00C01ABE"/>
    <w:rsid w:val="00C01B99"/>
    <w:rsid w:val="00C028BC"/>
    <w:rsid w:val="00C030B0"/>
    <w:rsid w:val="00C0358C"/>
    <w:rsid w:val="00C035D2"/>
    <w:rsid w:val="00C04632"/>
    <w:rsid w:val="00C04AAF"/>
    <w:rsid w:val="00C04B1F"/>
    <w:rsid w:val="00C06136"/>
    <w:rsid w:val="00C06527"/>
    <w:rsid w:val="00C0669E"/>
    <w:rsid w:val="00C06894"/>
    <w:rsid w:val="00C06A5A"/>
    <w:rsid w:val="00C07683"/>
    <w:rsid w:val="00C105B7"/>
    <w:rsid w:val="00C10651"/>
    <w:rsid w:val="00C109A9"/>
    <w:rsid w:val="00C10D8E"/>
    <w:rsid w:val="00C116CA"/>
    <w:rsid w:val="00C119F0"/>
    <w:rsid w:val="00C1227D"/>
    <w:rsid w:val="00C12A35"/>
    <w:rsid w:val="00C13A90"/>
    <w:rsid w:val="00C13B57"/>
    <w:rsid w:val="00C14122"/>
    <w:rsid w:val="00C1413D"/>
    <w:rsid w:val="00C14584"/>
    <w:rsid w:val="00C1490C"/>
    <w:rsid w:val="00C149E5"/>
    <w:rsid w:val="00C14BA2"/>
    <w:rsid w:val="00C151B3"/>
    <w:rsid w:val="00C1562A"/>
    <w:rsid w:val="00C16452"/>
    <w:rsid w:val="00C1665B"/>
    <w:rsid w:val="00C16A2D"/>
    <w:rsid w:val="00C17794"/>
    <w:rsid w:val="00C177F2"/>
    <w:rsid w:val="00C17D40"/>
    <w:rsid w:val="00C17F0D"/>
    <w:rsid w:val="00C20353"/>
    <w:rsid w:val="00C20F47"/>
    <w:rsid w:val="00C217C2"/>
    <w:rsid w:val="00C22562"/>
    <w:rsid w:val="00C2278E"/>
    <w:rsid w:val="00C231F9"/>
    <w:rsid w:val="00C24257"/>
    <w:rsid w:val="00C245F0"/>
    <w:rsid w:val="00C2485D"/>
    <w:rsid w:val="00C25307"/>
    <w:rsid w:val="00C303C4"/>
    <w:rsid w:val="00C304E1"/>
    <w:rsid w:val="00C3083A"/>
    <w:rsid w:val="00C316B0"/>
    <w:rsid w:val="00C3173F"/>
    <w:rsid w:val="00C31AAC"/>
    <w:rsid w:val="00C31D66"/>
    <w:rsid w:val="00C32FAE"/>
    <w:rsid w:val="00C332DC"/>
    <w:rsid w:val="00C33CB2"/>
    <w:rsid w:val="00C33E59"/>
    <w:rsid w:val="00C34021"/>
    <w:rsid w:val="00C34F39"/>
    <w:rsid w:val="00C35938"/>
    <w:rsid w:val="00C36439"/>
    <w:rsid w:val="00C378A8"/>
    <w:rsid w:val="00C4089F"/>
    <w:rsid w:val="00C4170D"/>
    <w:rsid w:val="00C424EA"/>
    <w:rsid w:val="00C42A9C"/>
    <w:rsid w:val="00C42E43"/>
    <w:rsid w:val="00C430E6"/>
    <w:rsid w:val="00C43B59"/>
    <w:rsid w:val="00C45F0B"/>
    <w:rsid w:val="00C45F64"/>
    <w:rsid w:val="00C46065"/>
    <w:rsid w:val="00C460C8"/>
    <w:rsid w:val="00C46633"/>
    <w:rsid w:val="00C46A20"/>
    <w:rsid w:val="00C46CCB"/>
    <w:rsid w:val="00C472B3"/>
    <w:rsid w:val="00C476E1"/>
    <w:rsid w:val="00C5042F"/>
    <w:rsid w:val="00C50721"/>
    <w:rsid w:val="00C511A4"/>
    <w:rsid w:val="00C5133E"/>
    <w:rsid w:val="00C51937"/>
    <w:rsid w:val="00C5264D"/>
    <w:rsid w:val="00C527B5"/>
    <w:rsid w:val="00C52A26"/>
    <w:rsid w:val="00C52AE1"/>
    <w:rsid w:val="00C52B5D"/>
    <w:rsid w:val="00C52D95"/>
    <w:rsid w:val="00C539F0"/>
    <w:rsid w:val="00C53DBF"/>
    <w:rsid w:val="00C5423D"/>
    <w:rsid w:val="00C54B42"/>
    <w:rsid w:val="00C55E81"/>
    <w:rsid w:val="00C56779"/>
    <w:rsid w:val="00C60930"/>
    <w:rsid w:val="00C6096D"/>
    <w:rsid w:val="00C60F31"/>
    <w:rsid w:val="00C6107D"/>
    <w:rsid w:val="00C61654"/>
    <w:rsid w:val="00C62056"/>
    <w:rsid w:val="00C62066"/>
    <w:rsid w:val="00C6243C"/>
    <w:rsid w:val="00C62A6D"/>
    <w:rsid w:val="00C62BEC"/>
    <w:rsid w:val="00C63302"/>
    <w:rsid w:val="00C63964"/>
    <w:rsid w:val="00C6424E"/>
    <w:rsid w:val="00C6425B"/>
    <w:rsid w:val="00C64878"/>
    <w:rsid w:val="00C64FA7"/>
    <w:rsid w:val="00C66CE3"/>
    <w:rsid w:val="00C67680"/>
    <w:rsid w:val="00C67E75"/>
    <w:rsid w:val="00C67E7A"/>
    <w:rsid w:val="00C700C7"/>
    <w:rsid w:val="00C706FF"/>
    <w:rsid w:val="00C709F0"/>
    <w:rsid w:val="00C70ADF"/>
    <w:rsid w:val="00C70B68"/>
    <w:rsid w:val="00C71EED"/>
    <w:rsid w:val="00C7253C"/>
    <w:rsid w:val="00C731C1"/>
    <w:rsid w:val="00C731D8"/>
    <w:rsid w:val="00C73AC2"/>
    <w:rsid w:val="00C74198"/>
    <w:rsid w:val="00C74558"/>
    <w:rsid w:val="00C76147"/>
    <w:rsid w:val="00C76B25"/>
    <w:rsid w:val="00C76C83"/>
    <w:rsid w:val="00C773E0"/>
    <w:rsid w:val="00C77B74"/>
    <w:rsid w:val="00C77FC0"/>
    <w:rsid w:val="00C81171"/>
    <w:rsid w:val="00C81871"/>
    <w:rsid w:val="00C821B0"/>
    <w:rsid w:val="00C8272F"/>
    <w:rsid w:val="00C838CC"/>
    <w:rsid w:val="00C8412A"/>
    <w:rsid w:val="00C84C17"/>
    <w:rsid w:val="00C87403"/>
    <w:rsid w:val="00C9026D"/>
    <w:rsid w:val="00C90D8F"/>
    <w:rsid w:val="00C915A8"/>
    <w:rsid w:val="00C91876"/>
    <w:rsid w:val="00C91C41"/>
    <w:rsid w:val="00C92168"/>
    <w:rsid w:val="00C92310"/>
    <w:rsid w:val="00C9385A"/>
    <w:rsid w:val="00C93A0D"/>
    <w:rsid w:val="00C93B7F"/>
    <w:rsid w:val="00C93B9C"/>
    <w:rsid w:val="00C942DD"/>
    <w:rsid w:val="00C955F6"/>
    <w:rsid w:val="00C95834"/>
    <w:rsid w:val="00C95A46"/>
    <w:rsid w:val="00C963B3"/>
    <w:rsid w:val="00C96F98"/>
    <w:rsid w:val="00C975CB"/>
    <w:rsid w:val="00C97909"/>
    <w:rsid w:val="00CA05DE"/>
    <w:rsid w:val="00CA0867"/>
    <w:rsid w:val="00CA0B02"/>
    <w:rsid w:val="00CA11EE"/>
    <w:rsid w:val="00CA1712"/>
    <w:rsid w:val="00CA27F9"/>
    <w:rsid w:val="00CA284F"/>
    <w:rsid w:val="00CA3119"/>
    <w:rsid w:val="00CA3880"/>
    <w:rsid w:val="00CA3FE6"/>
    <w:rsid w:val="00CA44F2"/>
    <w:rsid w:val="00CA4A9B"/>
    <w:rsid w:val="00CA5DDE"/>
    <w:rsid w:val="00CA638A"/>
    <w:rsid w:val="00CA729E"/>
    <w:rsid w:val="00CB0462"/>
    <w:rsid w:val="00CB079E"/>
    <w:rsid w:val="00CB095E"/>
    <w:rsid w:val="00CB0A7C"/>
    <w:rsid w:val="00CB0DB4"/>
    <w:rsid w:val="00CB3B0E"/>
    <w:rsid w:val="00CB3CDE"/>
    <w:rsid w:val="00CB47C1"/>
    <w:rsid w:val="00CB53FA"/>
    <w:rsid w:val="00CB5E8D"/>
    <w:rsid w:val="00CB6352"/>
    <w:rsid w:val="00CB721D"/>
    <w:rsid w:val="00CB74C2"/>
    <w:rsid w:val="00CC0128"/>
    <w:rsid w:val="00CC1327"/>
    <w:rsid w:val="00CC137F"/>
    <w:rsid w:val="00CC1A06"/>
    <w:rsid w:val="00CC1A9D"/>
    <w:rsid w:val="00CC1B17"/>
    <w:rsid w:val="00CC2848"/>
    <w:rsid w:val="00CC2E38"/>
    <w:rsid w:val="00CC4471"/>
    <w:rsid w:val="00CC481C"/>
    <w:rsid w:val="00CC511B"/>
    <w:rsid w:val="00CC62E0"/>
    <w:rsid w:val="00CC64B0"/>
    <w:rsid w:val="00CC64DF"/>
    <w:rsid w:val="00CC79F6"/>
    <w:rsid w:val="00CC7A44"/>
    <w:rsid w:val="00CC7A8D"/>
    <w:rsid w:val="00CD004A"/>
    <w:rsid w:val="00CD070B"/>
    <w:rsid w:val="00CD0719"/>
    <w:rsid w:val="00CD0B62"/>
    <w:rsid w:val="00CD0F8B"/>
    <w:rsid w:val="00CD16E9"/>
    <w:rsid w:val="00CD185C"/>
    <w:rsid w:val="00CD1969"/>
    <w:rsid w:val="00CD1C7D"/>
    <w:rsid w:val="00CD2DDE"/>
    <w:rsid w:val="00CD35D8"/>
    <w:rsid w:val="00CD404F"/>
    <w:rsid w:val="00CD4510"/>
    <w:rsid w:val="00CD4FF9"/>
    <w:rsid w:val="00CD571D"/>
    <w:rsid w:val="00CD574F"/>
    <w:rsid w:val="00CD5A4F"/>
    <w:rsid w:val="00CD7A6E"/>
    <w:rsid w:val="00CE00CB"/>
    <w:rsid w:val="00CE0A21"/>
    <w:rsid w:val="00CE1005"/>
    <w:rsid w:val="00CE11E1"/>
    <w:rsid w:val="00CE201A"/>
    <w:rsid w:val="00CE259B"/>
    <w:rsid w:val="00CE2A11"/>
    <w:rsid w:val="00CE2EC4"/>
    <w:rsid w:val="00CE300A"/>
    <w:rsid w:val="00CE448E"/>
    <w:rsid w:val="00CE4CEF"/>
    <w:rsid w:val="00CE4E41"/>
    <w:rsid w:val="00CE5237"/>
    <w:rsid w:val="00CE604C"/>
    <w:rsid w:val="00CE7631"/>
    <w:rsid w:val="00CE7CF1"/>
    <w:rsid w:val="00CE7E57"/>
    <w:rsid w:val="00CF04E0"/>
    <w:rsid w:val="00CF0E12"/>
    <w:rsid w:val="00CF170A"/>
    <w:rsid w:val="00CF197E"/>
    <w:rsid w:val="00CF1C9B"/>
    <w:rsid w:val="00CF24FC"/>
    <w:rsid w:val="00CF3063"/>
    <w:rsid w:val="00CF3BC1"/>
    <w:rsid w:val="00CF42BE"/>
    <w:rsid w:val="00CF587F"/>
    <w:rsid w:val="00CF5CCA"/>
    <w:rsid w:val="00CF6C1B"/>
    <w:rsid w:val="00CF7840"/>
    <w:rsid w:val="00CF7D48"/>
    <w:rsid w:val="00D00105"/>
    <w:rsid w:val="00D00230"/>
    <w:rsid w:val="00D0048A"/>
    <w:rsid w:val="00D00F9A"/>
    <w:rsid w:val="00D02C4D"/>
    <w:rsid w:val="00D0328A"/>
    <w:rsid w:val="00D037DC"/>
    <w:rsid w:val="00D04505"/>
    <w:rsid w:val="00D04AC9"/>
    <w:rsid w:val="00D04BC6"/>
    <w:rsid w:val="00D05809"/>
    <w:rsid w:val="00D069E3"/>
    <w:rsid w:val="00D07AE7"/>
    <w:rsid w:val="00D10B3B"/>
    <w:rsid w:val="00D123B2"/>
    <w:rsid w:val="00D13067"/>
    <w:rsid w:val="00D13387"/>
    <w:rsid w:val="00D1386F"/>
    <w:rsid w:val="00D14182"/>
    <w:rsid w:val="00D148A7"/>
    <w:rsid w:val="00D14E7C"/>
    <w:rsid w:val="00D15F51"/>
    <w:rsid w:val="00D1628B"/>
    <w:rsid w:val="00D1633C"/>
    <w:rsid w:val="00D16834"/>
    <w:rsid w:val="00D17C42"/>
    <w:rsid w:val="00D17EF8"/>
    <w:rsid w:val="00D214E0"/>
    <w:rsid w:val="00D226AB"/>
    <w:rsid w:val="00D2329E"/>
    <w:rsid w:val="00D2421F"/>
    <w:rsid w:val="00D2435A"/>
    <w:rsid w:val="00D24DDE"/>
    <w:rsid w:val="00D24ED3"/>
    <w:rsid w:val="00D254F9"/>
    <w:rsid w:val="00D26DC1"/>
    <w:rsid w:val="00D278F2"/>
    <w:rsid w:val="00D27D04"/>
    <w:rsid w:val="00D30758"/>
    <w:rsid w:val="00D312B7"/>
    <w:rsid w:val="00D32365"/>
    <w:rsid w:val="00D33EF4"/>
    <w:rsid w:val="00D35593"/>
    <w:rsid w:val="00D35ECC"/>
    <w:rsid w:val="00D36836"/>
    <w:rsid w:val="00D36E35"/>
    <w:rsid w:val="00D373E3"/>
    <w:rsid w:val="00D4026F"/>
    <w:rsid w:val="00D40851"/>
    <w:rsid w:val="00D4154A"/>
    <w:rsid w:val="00D418C6"/>
    <w:rsid w:val="00D41EB4"/>
    <w:rsid w:val="00D42095"/>
    <w:rsid w:val="00D42966"/>
    <w:rsid w:val="00D42DBF"/>
    <w:rsid w:val="00D431AA"/>
    <w:rsid w:val="00D439BF"/>
    <w:rsid w:val="00D442B8"/>
    <w:rsid w:val="00D44D1A"/>
    <w:rsid w:val="00D45653"/>
    <w:rsid w:val="00D46232"/>
    <w:rsid w:val="00D462D7"/>
    <w:rsid w:val="00D46FDC"/>
    <w:rsid w:val="00D4730E"/>
    <w:rsid w:val="00D475F0"/>
    <w:rsid w:val="00D4790C"/>
    <w:rsid w:val="00D47A45"/>
    <w:rsid w:val="00D47DBE"/>
    <w:rsid w:val="00D51D12"/>
    <w:rsid w:val="00D520A2"/>
    <w:rsid w:val="00D523F9"/>
    <w:rsid w:val="00D52609"/>
    <w:rsid w:val="00D52B8A"/>
    <w:rsid w:val="00D52D5F"/>
    <w:rsid w:val="00D52F90"/>
    <w:rsid w:val="00D53079"/>
    <w:rsid w:val="00D54F9C"/>
    <w:rsid w:val="00D55D99"/>
    <w:rsid w:val="00D55DCD"/>
    <w:rsid w:val="00D55E1B"/>
    <w:rsid w:val="00D55E89"/>
    <w:rsid w:val="00D56083"/>
    <w:rsid w:val="00D5696D"/>
    <w:rsid w:val="00D578C7"/>
    <w:rsid w:val="00D578D9"/>
    <w:rsid w:val="00D60D66"/>
    <w:rsid w:val="00D61AFE"/>
    <w:rsid w:val="00D61DAA"/>
    <w:rsid w:val="00D6213B"/>
    <w:rsid w:val="00D6225C"/>
    <w:rsid w:val="00D627CA"/>
    <w:rsid w:val="00D62C6D"/>
    <w:rsid w:val="00D62DAC"/>
    <w:rsid w:val="00D62F37"/>
    <w:rsid w:val="00D63263"/>
    <w:rsid w:val="00D640F1"/>
    <w:rsid w:val="00D6423F"/>
    <w:rsid w:val="00D644FE"/>
    <w:rsid w:val="00D64C43"/>
    <w:rsid w:val="00D65563"/>
    <w:rsid w:val="00D65FE2"/>
    <w:rsid w:val="00D6647C"/>
    <w:rsid w:val="00D67B0C"/>
    <w:rsid w:val="00D67E3E"/>
    <w:rsid w:val="00D70789"/>
    <w:rsid w:val="00D707BC"/>
    <w:rsid w:val="00D710FC"/>
    <w:rsid w:val="00D71857"/>
    <w:rsid w:val="00D71885"/>
    <w:rsid w:val="00D72023"/>
    <w:rsid w:val="00D72864"/>
    <w:rsid w:val="00D72947"/>
    <w:rsid w:val="00D731C0"/>
    <w:rsid w:val="00D74054"/>
    <w:rsid w:val="00D74C16"/>
    <w:rsid w:val="00D7513D"/>
    <w:rsid w:val="00D75936"/>
    <w:rsid w:val="00D75A5F"/>
    <w:rsid w:val="00D76834"/>
    <w:rsid w:val="00D7731A"/>
    <w:rsid w:val="00D808EF"/>
    <w:rsid w:val="00D80A09"/>
    <w:rsid w:val="00D80D58"/>
    <w:rsid w:val="00D80EE2"/>
    <w:rsid w:val="00D81214"/>
    <w:rsid w:val="00D82484"/>
    <w:rsid w:val="00D828A8"/>
    <w:rsid w:val="00D82ABF"/>
    <w:rsid w:val="00D83358"/>
    <w:rsid w:val="00D83710"/>
    <w:rsid w:val="00D84D68"/>
    <w:rsid w:val="00D86339"/>
    <w:rsid w:val="00D86DEE"/>
    <w:rsid w:val="00D87C4C"/>
    <w:rsid w:val="00D87CE6"/>
    <w:rsid w:val="00D9064C"/>
    <w:rsid w:val="00D90F79"/>
    <w:rsid w:val="00D913B6"/>
    <w:rsid w:val="00D9164F"/>
    <w:rsid w:val="00D91694"/>
    <w:rsid w:val="00D918E7"/>
    <w:rsid w:val="00D91B93"/>
    <w:rsid w:val="00D91F62"/>
    <w:rsid w:val="00D92269"/>
    <w:rsid w:val="00D928AE"/>
    <w:rsid w:val="00D928D3"/>
    <w:rsid w:val="00D92AE4"/>
    <w:rsid w:val="00D93B3F"/>
    <w:rsid w:val="00D93F6D"/>
    <w:rsid w:val="00D9469D"/>
    <w:rsid w:val="00D9477B"/>
    <w:rsid w:val="00D954D4"/>
    <w:rsid w:val="00D958C2"/>
    <w:rsid w:val="00D976FF"/>
    <w:rsid w:val="00DA1330"/>
    <w:rsid w:val="00DA133C"/>
    <w:rsid w:val="00DA1DC1"/>
    <w:rsid w:val="00DA331F"/>
    <w:rsid w:val="00DA3342"/>
    <w:rsid w:val="00DA3EEC"/>
    <w:rsid w:val="00DA495C"/>
    <w:rsid w:val="00DA4C7E"/>
    <w:rsid w:val="00DA552C"/>
    <w:rsid w:val="00DA586B"/>
    <w:rsid w:val="00DA6E53"/>
    <w:rsid w:val="00DB008D"/>
    <w:rsid w:val="00DB0F97"/>
    <w:rsid w:val="00DB1122"/>
    <w:rsid w:val="00DB1BC2"/>
    <w:rsid w:val="00DB211A"/>
    <w:rsid w:val="00DB222D"/>
    <w:rsid w:val="00DB26D8"/>
    <w:rsid w:val="00DB2DCA"/>
    <w:rsid w:val="00DB2F65"/>
    <w:rsid w:val="00DB4012"/>
    <w:rsid w:val="00DB4B02"/>
    <w:rsid w:val="00DB5D55"/>
    <w:rsid w:val="00DB62C3"/>
    <w:rsid w:val="00DB6CBE"/>
    <w:rsid w:val="00DB6FC0"/>
    <w:rsid w:val="00DB7F44"/>
    <w:rsid w:val="00DC0695"/>
    <w:rsid w:val="00DC07A9"/>
    <w:rsid w:val="00DC2EFB"/>
    <w:rsid w:val="00DC302D"/>
    <w:rsid w:val="00DC361D"/>
    <w:rsid w:val="00DC3D37"/>
    <w:rsid w:val="00DC3F8D"/>
    <w:rsid w:val="00DC4CC4"/>
    <w:rsid w:val="00DC5227"/>
    <w:rsid w:val="00DC6453"/>
    <w:rsid w:val="00DC689D"/>
    <w:rsid w:val="00DC6D76"/>
    <w:rsid w:val="00DC6EDD"/>
    <w:rsid w:val="00DC712F"/>
    <w:rsid w:val="00DC76C6"/>
    <w:rsid w:val="00DC7A9F"/>
    <w:rsid w:val="00DD09F8"/>
    <w:rsid w:val="00DD11B6"/>
    <w:rsid w:val="00DD1208"/>
    <w:rsid w:val="00DD143F"/>
    <w:rsid w:val="00DD1BC4"/>
    <w:rsid w:val="00DD1D0D"/>
    <w:rsid w:val="00DD318A"/>
    <w:rsid w:val="00DD3E33"/>
    <w:rsid w:val="00DD43B3"/>
    <w:rsid w:val="00DD4EDA"/>
    <w:rsid w:val="00DD4FDF"/>
    <w:rsid w:val="00DD5663"/>
    <w:rsid w:val="00DD612E"/>
    <w:rsid w:val="00DD61BF"/>
    <w:rsid w:val="00DD6218"/>
    <w:rsid w:val="00DD715E"/>
    <w:rsid w:val="00DD7A44"/>
    <w:rsid w:val="00DE08B7"/>
    <w:rsid w:val="00DE108A"/>
    <w:rsid w:val="00DE1126"/>
    <w:rsid w:val="00DE2AF1"/>
    <w:rsid w:val="00DE342F"/>
    <w:rsid w:val="00DE3A8D"/>
    <w:rsid w:val="00DE4011"/>
    <w:rsid w:val="00DE49ED"/>
    <w:rsid w:val="00DE4F3D"/>
    <w:rsid w:val="00DE71AD"/>
    <w:rsid w:val="00DF0EE0"/>
    <w:rsid w:val="00DF10DD"/>
    <w:rsid w:val="00DF137B"/>
    <w:rsid w:val="00DF1D56"/>
    <w:rsid w:val="00DF1E27"/>
    <w:rsid w:val="00DF3163"/>
    <w:rsid w:val="00DF5A1D"/>
    <w:rsid w:val="00DF604B"/>
    <w:rsid w:val="00DF61DE"/>
    <w:rsid w:val="00DF6CC9"/>
    <w:rsid w:val="00DF751A"/>
    <w:rsid w:val="00E01A38"/>
    <w:rsid w:val="00E01DCE"/>
    <w:rsid w:val="00E0221A"/>
    <w:rsid w:val="00E025B2"/>
    <w:rsid w:val="00E029C2"/>
    <w:rsid w:val="00E03959"/>
    <w:rsid w:val="00E039B6"/>
    <w:rsid w:val="00E03CEC"/>
    <w:rsid w:val="00E0462F"/>
    <w:rsid w:val="00E048BA"/>
    <w:rsid w:val="00E04E36"/>
    <w:rsid w:val="00E05CDB"/>
    <w:rsid w:val="00E06A10"/>
    <w:rsid w:val="00E06DA9"/>
    <w:rsid w:val="00E06EFE"/>
    <w:rsid w:val="00E10D5C"/>
    <w:rsid w:val="00E111E4"/>
    <w:rsid w:val="00E1140D"/>
    <w:rsid w:val="00E11447"/>
    <w:rsid w:val="00E12DDC"/>
    <w:rsid w:val="00E141ED"/>
    <w:rsid w:val="00E143B9"/>
    <w:rsid w:val="00E14654"/>
    <w:rsid w:val="00E15D65"/>
    <w:rsid w:val="00E1668E"/>
    <w:rsid w:val="00E171A1"/>
    <w:rsid w:val="00E20265"/>
    <w:rsid w:val="00E20425"/>
    <w:rsid w:val="00E21B45"/>
    <w:rsid w:val="00E2291F"/>
    <w:rsid w:val="00E22A3F"/>
    <w:rsid w:val="00E22CD2"/>
    <w:rsid w:val="00E232B3"/>
    <w:rsid w:val="00E243F1"/>
    <w:rsid w:val="00E2463F"/>
    <w:rsid w:val="00E247EE"/>
    <w:rsid w:val="00E2483B"/>
    <w:rsid w:val="00E25355"/>
    <w:rsid w:val="00E25596"/>
    <w:rsid w:val="00E25D4F"/>
    <w:rsid w:val="00E25F5D"/>
    <w:rsid w:val="00E2608E"/>
    <w:rsid w:val="00E26302"/>
    <w:rsid w:val="00E263FB"/>
    <w:rsid w:val="00E26DB9"/>
    <w:rsid w:val="00E27042"/>
    <w:rsid w:val="00E2780D"/>
    <w:rsid w:val="00E27EDC"/>
    <w:rsid w:val="00E3015D"/>
    <w:rsid w:val="00E31239"/>
    <w:rsid w:val="00E31781"/>
    <w:rsid w:val="00E32F45"/>
    <w:rsid w:val="00E339F3"/>
    <w:rsid w:val="00E33D4F"/>
    <w:rsid w:val="00E33D82"/>
    <w:rsid w:val="00E35CB2"/>
    <w:rsid w:val="00E36FD2"/>
    <w:rsid w:val="00E37816"/>
    <w:rsid w:val="00E40E98"/>
    <w:rsid w:val="00E4216C"/>
    <w:rsid w:val="00E42473"/>
    <w:rsid w:val="00E42492"/>
    <w:rsid w:val="00E43817"/>
    <w:rsid w:val="00E44A1F"/>
    <w:rsid w:val="00E44C36"/>
    <w:rsid w:val="00E453B0"/>
    <w:rsid w:val="00E45F46"/>
    <w:rsid w:val="00E46028"/>
    <w:rsid w:val="00E46946"/>
    <w:rsid w:val="00E47460"/>
    <w:rsid w:val="00E47840"/>
    <w:rsid w:val="00E47D6C"/>
    <w:rsid w:val="00E506BC"/>
    <w:rsid w:val="00E50FA2"/>
    <w:rsid w:val="00E51C0F"/>
    <w:rsid w:val="00E52BF8"/>
    <w:rsid w:val="00E532AD"/>
    <w:rsid w:val="00E53AE2"/>
    <w:rsid w:val="00E54005"/>
    <w:rsid w:val="00E547AA"/>
    <w:rsid w:val="00E54B1C"/>
    <w:rsid w:val="00E55D60"/>
    <w:rsid w:val="00E56AF7"/>
    <w:rsid w:val="00E56C1F"/>
    <w:rsid w:val="00E56CAF"/>
    <w:rsid w:val="00E56E8D"/>
    <w:rsid w:val="00E572FD"/>
    <w:rsid w:val="00E5798E"/>
    <w:rsid w:val="00E60C65"/>
    <w:rsid w:val="00E614E2"/>
    <w:rsid w:val="00E615A1"/>
    <w:rsid w:val="00E6266B"/>
    <w:rsid w:val="00E636DA"/>
    <w:rsid w:val="00E63A2F"/>
    <w:rsid w:val="00E63D78"/>
    <w:rsid w:val="00E64D23"/>
    <w:rsid w:val="00E658C5"/>
    <w:rsid w:val="00E65BF3"/>
    <w:rsid w:val="00E66402"/>
    <w:rsid w:val="00E6692A"/>
    <w:rsid w:val="00E66EE7"/>
    <w:rsid w:val="00E6720E"/>
    <w:rsid w:val="00E67590"/>
    <w:rsid w:val="00E67FAC"/>
    <w:rsid w:val="00E703D6"/>
    <w:rsid w:val="00E7081C"/>
    <w:rsid w:val="00E71E4D"/>
    <w:rsid w:val="00E71E5F"/>
    <w:rsid w:val="00E733DD"/>
    <w:rsid w:val="00E7347E"/>
    <w:rsid w:val="00E73A55"/>
    <w:rsid w:val="00E74267"/>
    <w:rsid w:val="00E74D8D"/>
    <w:rsid w:val="00E7588F"/>
    <w:rsid w:val="00E76189"/>
    <w:rsid w:val="00E76955"/>
    <w:rsid w:val="00E7696F"/>
    <w:rsid w:val="00E77A8D"/>
    <w:rsid w:val="00E8043A"/>
    <w:rsid w:val="00E809FF"/>
    <w:rsid w:val="00E81303"/>
    <w:rsid w:val="00E82D53"/>
    <w:rsid w:val="00E83D77"/>
    <w:rsid w:val="00E84253"/>
    <w:rsid w:val="00E849F8"/>
    <w:rsid w:val="00E8681A"/>
    <w:rsid w:val="00E86887"/>
    <w:rsid w:val="00E86E73"/>
    <w:rsid w:val="00E86EA0"/>
    <w:rsid w:val="00E875B3"/>
    <w:rsid w:val="00E87B12"/>
    <w:rsid w:val="00E87B18"/>
    <w:rsid w:val="00E87BCE"/>
    <w:rsid w:val="00E90427"/>
    <w:rsid w:val="00E909F9"/>
    <w:rsid w:val="00E90F92"/>
    <w:rsid w:val="00E912AA"/>
    <w:rsid w:val="00E9179E"/>
    <w:rsid w:val="00E91BB3"/>
    <w:rsid w:val="00E923C3"/>
    <w:rsid w:val="00E928FF"/>
    <w:rsid w:val="00E93165"/>
    <w:rsid w:val="00E93560"/>
    <w:rsid w:val="00E93955"/>
    <w:rsid w:val="00E93F1E"/>
    <w:rsid w:val="00E94B17"/>
    <w:rsid w:val="00E950ED"/>
    <w:rsid w:val="00E95575"/>
    <w:rsid w:val="00E96690"/>
    <w:rsid w:val="00E96827"/>
    <w:rsid w:val="00E96FE1"/>
    <w:rsid w:val="00EA06CE"/>
    <w:rsid w:val="00EA0C0B"/>
    <w:rsid w:val="00EA10E1"/>
    <w:rsid w:val="00EA153B"/>
    <w:rsid w:val="00EA1E72"/>
    <w:rsid w:val="00EA21AC"/>
    <w:rsid w:val="00EA2E52"/>
    <w:rsid w:val="00EA3ADC"/>
    <w:rsid w:val="00EA4939"/>
    <w:rsid w:val="00EA4B30"/>
    <w:rsid w:val="00EA5527"/>
    <w:rsid w:val="00EA64F4"/>
    <w:rsid w:val="00EA6604"/>
    <w:rsid w:val="00EA6703"/>
    <w:rsid w:val="00EA6A73"/>
    <w:rsid w:val="00EA78B4"/>
    <w:rsid w:val="00EB17AE"/>
    <w:rsid w:val="00EB1F9F"/>
    <w:rsid w:val="00EB2D90"/>
    <w:rsid w:val="00EB3DA2"/>
    <w:rsid w:val="00EB43FD"/>
    <w:rsid w:val="00EB4424"/>
    <w:rsid w:val="00EB516B"/>
    <w:rsid w:val="00EB5342"/>
    <w:rsid w:val="00EB5619"/>
    <w:rsid w:val="00EB7373"/>
    <w:rsid w:val="00EC0605"/>
    <w:rsid w:val="00EC0FD1"/>
    <w:rsid w:val="00EC13A2"/>
    <w:rsid w:val="00EC2597"/>
    <w:rsid w:val="00EC2970"/>
    <w:rsid w:val="00EC31C1"/>
    <w:rsid w:val="00EC399A"/>
    <w:rsid w:val="00EC3BF7"/>
    <w:rsid w:val="00EC3C34"/>
    <w:rsid w:val="00EC3DFF"/>
    <w:rsid w:val="00EC3FC6"/>
    <w:rsid w:val="00EC5510"/>
    <w:rsid w:val="00EC55B2"/>
    <w:rsid w:val="00EC56D2"/>
    <w:rsid w:val="00EC573E"/>
    <w:rsid w:val="00EC5A95"/>
    <w:rsid w:val="00EC5BB4"/>
    <w:rsid w:val="00EC5D9D"/>
    <w:rsid w:val="00EC5FBA"/>
    <w:rsid w:val="00EC681A"/>
    <w:rsid w:val="00EC6BA9"/>
    <w:rsid w:val="00EC7DDF"/>
    <w:rsid w:val="00ED04B0"/>
    <w:rsid w:val="00ED0865"/>
    <w:rsid w:val="00ED0F51"/>
    <w:rsid w:val="00ED1209"/>
    <w:rsid w:val="00ED1697"/>
    <w:rsid w:val="00ED170D"/>
    <w:rsid w:val="00ED1838"/>
    <w:rsid w:val="00ED2B77"/>
    <w:rsid w:val="00ED44BB"/>
    <w:rsid w:val="00ED4807"/>
    <w:rsid w:val="00ED4A78"/>
    <w:rsid w:val="00ED4EB5"/>
    <w:rsid w:val="00ED4F54"/>
    <w:rsid w:val="00ED5948"/>
    <w:rsid w:val="00ED5DCA"/>
    <w:rsid w:val="00ED6DF7"/>
    <w:rsid w:val="00ED7130"/>
    <w:rsid w:val="00ED7BF3"/>
    <w:rsid w:val="00EE0844"/>
    <w:rsid w:val="00EE0A0E"/>
    <w:rsid w:val="00EE0BCA"/>
    <w:rsid w:val="00EE14C7"/>
    <w:rsid w:val="00EE1B57"/>
    <w:rsid w:val="00EE1B94"/>
    <w:rsid w:val="00EE1D11"/>
    <w:rsid w:val="00EE2A21"/>
    <w:rsid w:val="00EE3114"/>
    <w:rsid w:val="00EE3669"/>
    <w:rsid w:val="00EE39B0"/>
    <w:rsid w:val="00EE49E6"/>
    <w:rsid w:val="00EE4BF3"/>
    <w:rsid w:val="00EE6100"/>
    <w:rsid w:val="00EE62B6"/>
    <w:rsid w:val="00EE6E1B"/>
    <w:rsid w:val="00EE759B"/>
    <w:rsid w:val="00EF0850"/>
    <w:rsid w:val="00EF0E0B"/>
    <w:rsid w:val="00EF1200"/>
    <w:rsid w:val="00EF1D88"/>
    <w:rsid w:val="00EF20EE"/>
    <w:rsid w:val="00EF2C4D"/>
    <w:rsid w:val="00EF319B"/>
    <w:rsid w:val="00EF3722"/>
    <w:rsid w:val="00EF4C69"/>
    <w:rsid w:val="00EF4F5B"/>
    <w:rsid w:val="00EF50FB"/>
    <w:rsid w:val="00EF5572"/>
    <w:rsid w:val="00EF5C03"/>
    <w:rsid w:val="00EF60FB"/>
    <w:rsid w:val="00EF6587"/>
    <w:rsid w:val="00EF6866"/>
    <w:rsid w:val="00EF79E3"/>
    <w:rsid w:val="00F019AF"/>
    <w:rsid w:val="00F01C28"/>
    <w:rsid w:val="00F02BA2"/>
    <w:rsid w:val="00F033A6"/>
    <w:rsid w:val="00F03F22"/>
    <w:rsid w:val="00F04C24"/>
    <w:rsid w:val="00F04DDB"/>
    <w:rsid w:val="00F052E1"/>
    <w:rsid w:val="00F068EB"/>
    <w:rsid w:val="00F1083A"/>
    <w:rsid w:val="00F10B13"/>
    <w:rsid w:val="00F10F22"/>
    <w:rsid w:val="00F11B10"/>
    <w:rsid w:val="00F11E5D"/>
    <w:rsid w:val="00F12F21"/>
    <w:rsid w:val="00F13721"/>
    <w:rsid w:val="00F138D5"/>
    <w:rsid w:val="00F13BF2"/>
    <w:rsid w:val="00F14365"/>
    <w:rsid w:val="00F1565C"/>
    <w:rsid w:val="00F1574C"/>
    <w:rsid w:val="00F17074"/>
    <w:rsid w:val="00F17092"/>
    <w:rsid w:val="00F20FE0"/>
    <w:rsid w:val="00F21ADE"/>
    <w:rsid w:val="00F2224E"/>
    <w:rsid w:val="00F22516"/>
    <w:rsid w:val="00F22D77"/>
    <w:rsid w:val="00F22E09"/>
    <w:rsid w:val="00F24771"/>
    <w:rsid w:val="00F25915"/>
    <w:rsid w:val="00F27027"/>
    <w:rsid w:val="00F2704B"/>
    <w:rsid w:val="00F27111"/>
    <w:rsid w:val="00F27773"/>
    <w:rsid w:val="00F30FC5"/>
    <w:rsid w:val="00F315D3"/>
    <w:rsid w:val="00F318AB"/>
    <w:rsid w:val="00F33840"/>
    <w:rsid w:val="00F34303"/>
    <w:rsid w:val="00F36895"/>
    <w:rsid w:val="00F37E62"/>
    <w:rsid w:val="00F40AD9"/>
    <w:rsid w:val="00F40F84"/>
    <w:rsid w:val="00F41CEB"/>
    <w:rsid w:val="00F43A3C"/>
    <w:rsid w:val="00F43A6B"/>
    <w:rsid w:val="00F43AD4"/>
    <w:rsid w:val="00F441DC"/>
    <w:rsid w:val="00F444A3"/>
    <w:rsid w:val="00F447EE"/>
    <w:rsid w:val="00F449B9"/>
    <w:rsid w:val="00F4583C"/>
    <w:rsid w:val="00F4585B"/>
    <w:rsid w:val="00F458E9"/>
    <w:rsid w:val="00F45E1F"/>
    <w:rsid w:val="00F46174"/>
    <w:rsid w:val="00F50901"/>
    <w:rsid w:val="00F50B59"/>
    <w:rsid w:val="00F50DB4"/>
    <w:rsid w:val="00F51326"/>
    <w:rsid w:val="00F5237F"/>
    <w:rsid w:val="00F52C2D"/>
    <w:rsid w:val="00F53048"/>
    <w:rsid w:val="00F536AF"/>
    <w:rsid w:val="00F536F1"/>
    <w:rsid w:val="00F53B47"/>
    <w:rsid w:val="00F53F49"/>
    <w:rsid w:val="00F545EC"/>
    <w:rsid w:val="00F54809"/>
    <w:rsid w:val="00F54829"/>
    <w:rsid w:val="00F5498A"/>
    <w:rsid w:val="00F55B03"/>
    <w:rsid w:val="00F56DCA"/>
    <w:rsid w:val="00F56DD6"/>
    <w:rsid w:val="00F57DD0"/>
    <w:rsid w:val="00F60886"/>
    <w:rsid w:val="00F61392"/>
    <w:rsid w:val="00F61DB1"/>
    <w:rsid w:val="00F62246"/>
    <w:rsid w:val="00F6237C"/>
    <w:rsid w:val="00F6276D"/>
    <w:rsid w:val="00F62D80"/>
    <w:rsid w:val="00F63EF8"/>
    <w:rsid w:val="00F63FD8"/>
    <w:rsid w:val="00F64204"/>
    <w:rsid w:val="00F64A5D"/>
    <w:rsid w:val="00F64B88"/>
    <w:rsid w:val="00F67083"/>
    <w:rsid w:val="00F67A26"/>
    <w:rsid w:val="00F67EEA"/>
    <w:rsid w:val="00F72207"/>
    <w:rsid w:val="00F72757"/>
    <w:rsid w:val="00F7362B"/>
    <w:rsid w:val="00F73798"/>
    <w:rsid w:val="00F739F0"/>
    <w:rsid w:val="00F74BC1"/>
    <w:rsid w:val="00F74E1E"/>
    <w:rsid w:val="00F75188"/>
    <w:rsid w:val="00F75D2B"/>
    <w:rsid w:val="00F765BE"/>
    <w:rsid w:val="00F769D5"/>
    <w:rsid w:val="00F769FC"/>
    <w:rsid w:val="00F77C06"/>
    <w:rsid w:val="00F77D06"/>
    <w:rsid w:val="00F77DEC"/>
    <w:rsid w:val="00F806F7"/>
    <w:rsid w:val="00F80982"/>
    <w:rsid w:val="00F80AD9"/>
    <w:rsid w:val="00F80F3A"/>
    <w:rsid w:val="00F8167F"/>
    <w:rsid w:val="00F81EC7"/>
    <w:rsid w:val="00F8291B"/>
    <w:rsid w:val="00F82D1F"/>
    <w:rsid w:val="00F83283"/>
    <w:rsid w:val="00F835F7"/>
    <w:rsid w:val="00F838B5"/>
    <w:rsid w:val="00F83A6D"/>
    <w:rsid w:val="00F849F5"/>
    <w:rsid w:val="00F85F64"/>
    <w:rsid w:val="00F86482"/>
    <w:rsid w:val="00F87B53"/>
    <w:rsid w:val="00F87C7A"/>
    <w:rsid w:val="00F87D3E"/>
    <w:rsid w:val="00F87EEB"/>
    <w:rsid w:val="00F908D2"/>
    <w:rsid w:val="00F90F64"/>
    <w:rsid w:val="00F91253"/>
    <w:rsid w:val="00F91BE5"/>
    <w:rsid w:val="00F91EEB"/>
    <w:rsid w:val="00F920DE"/>
    <w:rsid w:val="00F92613"/>
    <w:rsid w:val="00F9343B"/>
    <w:rsid w:val="00F936C4"/>
    <w:rsid w:val="00F93739"/>
    <w:rsid w:val="00F93BD4"/>
    <w:rsid w:val="00F93C20"/>
    <w:rsid w:val="00F947B1"/>
    <w:rsid w:val="00F951B8"/>
    <w:rsid w:val="00F95FC2"/>
    <w:rsid w:val="00F96411"/>
    <w:rsid w:val="00F97201"/>
    <w:rsid w:val="00F973DA"/>
    <w:rsid w:val="00F976C5"/>
    <w:rsid w:val="00F97A1A"/>
    <w:rsid w:val="00FA0631"/>
    <w:rsid w:val="00FA0896"/>
    <w:rsid w:val="00FA0908"/>
    <w:rsid w:val="00FA0F02"/>
    <w:rsid w:val="00FA36A7"/>
    <w:rsid w:val="00FA3BDB"/>
    <w:rsid w:val="00FA3EBB"/>
    <w:rsid w:val="00FA3F2A"/>
    <w:rsid w:val="00FA4247"/>
    <w:rsid w:val="00FA442D"/>
    <w:rsid w:val="00FA56DD"/>
    <w:rsid w:val="00FA655A"/>
    <w:rsid w:val="00FA6D00"/>
    <w:rsid w:val="00FA7337"/>
    <w:rsid w:val="00FA7D32"/>
    <w:rsid w:val="00FB02FD"/>
    <w:rsid w:val="00FB0F80"/>
    <w:rsid w:val="00FB2CD1"/>
    <w:rsid w:val="00FB4424"/>
    <w:rsid w:val="00FB513E"/>
    <w:rsid w:val="00FB5919"/>
    <w:rsid w:val="00FB5C19"/>
    <w:rsid w:val="00FB7A7C"/>
    <w:rsid w:val="00FC0604"/>
    <w:rsid w:val="00FC0B89"/>
    <w:rsid w:val="00FC0BC4"/>
    <w:rsid w:val="00FC18D7"/>
    <w:rsid w:val="00FC250B"/>
    <w:rsid w:val="00FC2D58"/>
    <w:rsid w:val="00FC4966"/>
    <w:rsid w:val="00FC4B36"/>
    <w:rsid w:val="00FC4E02"/>
    <w:rsid w:val="00FC5C9B"/>
    <w:rsid w:val="00FC67C3"/>
    <w:rsid w:val="00FC6DBE"/>
    <w:rsid w:val="00FC72EA"/>
    <w:rsid w:val="00FD0394"/>
    <w:rsid w:val="00FD064B"/>
    <w:rsid w:val="00FD1B15"/>
    <w:rsid w:val="00FD2274"/>
    <w:rsid w:val="00FD2A1A"/>
    <w:rsid w:val="00FD2E4A"/>
    <w:rsid w:val="00FD32B0"/>
    <w:rsid w:val="00FD34DB"/>
    <w:rsid w:val="00FD3AB7"/>
    <w:rsid w:val="00FD4E9B"/>
    <w:rsid w:val="00FD53D3"/>
    <w:rsid w:val="00FD5EB1"/>
    <w:rsid w:val="00FD5F0A"/>
    <w:rsid w:val="00FD64B3"/>
    <w:rsid w:val="00FD69CD"/>
    <w:rsid w:val="00FD6A00"/>
    <w:rsid w:val="00FD6CEB"/>
    <w:rsid w:val="00FD6F66"/>
    <w:rsid w:val="00FD7BD1"/>
    <w:rsid w:val="00FE00F5"/>
    <w:rsid w:val="00FE1962"/>
    <w:rsid w:val="00FE1EAA"/>
    <w:rsid w:val="00FE2D9B"/>
    <w:rsid w:val="00FE3997"/>
    <w:rsid w:val="00FE4D09"/>
    <w:rsid w:val="00FE4DAA"/>
    <w:rsid w:val="00FE7452"/>
    <w:rsid w:val="00FF0041"/>
    <w:rsid w:val="00FF0818"/>
    <w:rsid w:val="00FF2700"/>
    <w:rsid w:val="00FF2859"/>
    <w:rsid w:val="00FF3166"/>
    <w:rsid w:val="00FF3269"/>
    <w:rsid w:val="00FF3DA3"/>
    <w:rsid w:val="00FF48BA"/>
    <w:rsid w:val="00FF5196"/>
    <w:rsid w:val="00FF64D4"/>
    <w:rsid w:val="00FF77D8"/>
    <w:rsid w:val="00FF7AA8"/>
    <w:rsid w:val="00FF7E1E"/>
    <w:rsid w:val="01043A00"/>
    <w:rsid w:val="025D2829"/>
    <w:rsid w:val="03D5659A"/>
    <w:rsid w:val="05940CA9"/>
    <w:rsid w:val="06935C5D"/>
    <w:rsid w:val="06A37506"/>
    <w:rsid w:val="0803235B"/>
    <w:rsid w:val="08E4414D"/>
    <w:rsid w:val="092B0CBD"/>
    <w:rsid w:val="0A7B4EDE"/>
    <w:rsid w:val="0B0E5BB7"/>
    <w:rsid w:val="0CCE4EAF"/>
    <w:rsid w:val="0D000C22"/>
    <w:rsid w:val="0ECA5C86"/>
    <w:rsid w:val="0EE30088"/>
    <w:rsid w:val="0F0A7118"/>
    <w:rsid w:val="101C1B70"/>
    <w:rsid w:val="113C1E03"/>
    <w:rsid w:val="11F50538"/>
    <w:rsid w:val="124A5BBF"/>
    <w:rsid w:val="127232AE"/>
    <w:rsid w:val="12753230"/>
    <w:rsid w:val="129F6E8C"/>
    <w:rsid w:val="12A74B50"/>
    <w:rsid w:val="1495033F"/>
    <w:rsid w:val="175935C5"/>
    <w:rsid w:val="176D33A6"/>
    <w:rsid w:val="19A21166"/>
    <w:rsid w:val="19C60149"/>
    <w:rsid w:val="1ACD5120"/>
    <w:rsid w:val="1B395EAD"/>
    <w:rsid w:val="1B844091"/>
    <w:rsid w:val="1C1169A9"/>
    <w:rsid w:val="1CBA6A6B"/>
    <w:rsid w:val="20497594"/>
    <w:rsid w:val="20CC5787"/>
    <w:rsid w:val="213F312D"/>
    <w:rsid w:val="21647717"/>
    <w:rsid w:val="23C35229"/>
    <w:rsid w:val="23EC1605"/>
    <w:rsid w:val="24343E05"/>
    <w:rsid w:val="25C524D5"/>
    <w:rsid w:val="271D33AD"/>
    <w:rsid w:val="27EB31FA"/>
    <w:rsid w:val="283F1BE9"/>
    <w:rsid w:val="2C333998"/>
    <w:rsid w:val="2D1D6B02"/>
    <w:rsid w:val="2F7079FC"/>
    <w:rsid w:val="2F796A74"/>
    <w:rsid w:val="305A104C"/>
    <w:rsid w:val="31590FAD"/>
    <w:rsid w:val="315B08CF"/>
    <w:rsid w:val="33DB413A"/>
    <w:rsid w:val="34936F36"/>
    <w:rsid w:val="349D4E9F"/>
    <w:rsid w:val="356B28C4"/>
    <w:rsid w:val="371625F5"/>
    <w:rsid w:val="37725484"/>
    <w:rsid w:val="37C769F8"/>
    <w:rsid w:val="399E4C39"/>
    <w:rsid w:val="39DF1908"/>
    <w:rsid w:val="39F54808"/>
    <w:rsid w:val="3A5C2271"/>
    <w:rsid w:val="3A9B4C47"/>
    <w:rsid w:val="41140746"/>
    <w:rsid w:val="411C70E4"/>
    <w:rsid w:val="42260DC8"/>
    <w:rsid w:val="4399264E"/>
    <w:rsid w:val="43D1145A"/>
    <w:rsid w:val="44550D71"/>
    <w:rsid w:val="45C54FB9"/>
    <w:rsid w:val="464204F1"/>
    <w:rsid w:val="472D4A6B"/>
    <w:rsid w:val="47DB737B"/>
    <w:rsid w:val="48E12661"/>
    <w:rsid w:val="4AB1199E"/>
    <w:rsid w:val="4AB20A99"/>
    <w:rsid w:val="4B1974AD"/>
    <w:rsid w:val="4B5C0EA1"/>
    <w:rsid w:val="4D9C435E"/>
    <w:rsid w:val="4DC15702"/>
    <w:rsid w:val="4E9B7921"/>
    <w:rsid w:val="4EBA707F"/>
    <w:rsid w:val="4F0332A4"/>
    <w:rsid w:val="4F6D6CE2"/>
    <w:rsid w:val="4FBE5892"/>
    <w:rsid w:val="4FEE7EFB"/>
    <w:rsid w:val="50962488"/>
    <w:rsid w:val="51420D4E"/>
    <w:rsid w:val="514F1816"/>
    <w:rsid w:val="523429B6"/>
    <w:rsid w:val="526B4D8D"/>
    <w:rsid w:val="526D4532"/>
    <w:rsid w:val="536015F2"/>
    <w:rsid w:val="53A774A7"/>
    <w:rsid w:val="556A7C45"/>
    <w:rsid w:val="564C6988"/>
    <w:rsid w:val="56BD068C"/>
    <w:rsid w:val="56D06F23"/>
    <w:rsid w:val="56E36077"/>
    <w:rsid w:val="57083A01"/>
    <w:rsid w:val="573142D3"/>
    <w:rsid w:val="582E261E"/>
    <w:rsid w:val="58A62A6F"/>
    <w:rsid w:val="58E326F5"/>
    <w:rsid w:val="59F87583"/>
    <w:rsid w:val="5A6A4A2D"/>
    <w:rsid w:val="5AA70057"/>
    <w:rsid w:val="5ACC4A98"/>
    <w:rsid w:val="5B9E2F5B"/>
    <w:rsid w:val="5CFC1A52"/>
    <w:rsid w:val="5DC05269"/>
    <w:rsid w:val="5EBB6A19"/>
    <w:rsid w:val="5F2A75AF"/>
    <w:rsid w:val="5F6D4B2C"/>
    <w:rsid w:val="5FF94869"/>
    <w:rsid w:val="601E5566"/>
    <w:rsid w:val="60291502"/>
    <w:rsid w:val="6072018E"/>
    <w:rsid w:val="60DC3426"/>
    <w:rsid w:val="61661A0C"/>
    <w:rsid w:val="61674F85"/>
    <w:rsid w:val="62742635"/>
    <w:rsid w:val="637703E3"/>
    <w:rsid w:val="638C5B25"/>
    <w:rsid w:val="638D2B39"/>
    <w:rsid w:val="63971FD2"/>
    <w:rsid w:val="63AB20B0"/>
    <w:rsid w:val="63C83F49"/>
    <w:rsid w:val="64960D60"/>
    <w:rsid w:val="653F1847"/>
    <w:rsid w:val="653F70D5"/>
    <w:rsid w:val="66B65EAA"/>
    <w:rsid w:val="677A424F"/>
    <w:rsid w:val="67FA1F97"/>
    <w:rsid w:val="68A53CEB"/>
    <w:rsid w:val="68AD2A97"/>
    <w:rsid w:val="69442B01"/>
    <w:rsid w:val="69D34666"/>
    <w:rsid w:val="6AF21190"/>
    <w:rsid w:val="6E26586D"/>
    <w:rsid w:val="6E9C0CFE"/>
    <w:rsid w:val="6ED14082"/>
    <w:rsid w:val="6FBE2DBC"/>
    <w:rsid w:val="70D95DC3"/>
    <w:rsid w:val="717C3753"/>
    <w:rsid w:val="72D23803"/>
    <w:rsid w:val="72E52893"/>
    <w:rsid w:val="739D59FD"/>
    <w:rsid w:val="740E434C"/>
    <w:rsid w:val="75702AE7"/>
    <w:rsid w:val="761D6020"/>
    <w:rsid w:val="76624A94"/>
    <w:rsid w:val="76B773B2"/>
    <w:rsid w:val="79882F49"/>
    <w:rsid w:val="79886AED"/>
    <w:rsid w:val="7A442CB8"/>
    <w:rsid w:val="7A7F14E6"/>
    <w:rsid w:val="7B290BF2"/>
    <w:rsid w:val="7D1F5545"/>
    <w:rsid w:val="7D8465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100" w:leftChars="100" w:right="100" w:rightChars="100" w:firstLine="200" w:firstLineChars="200"/>
      <w:jc w:val="both"/>
    </w:pPr>
    <w:rPr>
      <w:rFonts w:ascii="Times New Roman" w:hAnsi="Times New Roman" w:eastAsia="仿宋_GB2312" w:cs="Times New Roman"/>
      <w:kern w:val="2"/>
      <w:sz w:val="28"/>
      <w:szCs w:val="24"/>
      <w:lang w:val="en-US" w:eastAsia="zh-CN" w:bidi="ar-SA"/>
    </w:rPr>
  </w:style>
  <w:style w:type="paragraph" w:styleId="2">
    <w:name w:val="heading 1"/>
    <w:basedOn w:val="1"/>
    <w:next w:val="1"/>
    <w:qFormat/>
    <w:uiPriority w:val="0"/>
    <w:pPr>
      <w:keepNext/>
      <w:keepLines/>
      <w:snapToGrid w:val="0"/>
      <w:spacing w:before="120" w:after="120"/>
      <w:ind w:left="0" w:leftChars="0" w:right="0" w:rightChars="0" w:firstLine="0" w:firstLineChars="0"/>
      <w:outlineLvl w:val="0"/>
    </w:pPr>
    <w:rPr>
      <w:b/>
      <w:bCs/>
      <w:kern w:val="44"/>
      <w:sz w:val="32"/>
      <w:szCs w:val="32"/>
    </w:rPr>
  </w:style>
  <w:style w:type="paragraph" w:styleId="3">
    <w:name w:val="heading 2"/>
    <w:basedOn w:val="1"/>
    <w:next w:val="4"/>
    <w:link w:val="49"/>
    <w:qFormat/>
    <w:uiPriority w:val="0"/>
    <w:pPr>
      <w:keepNext/>
      <w:keepLines/>
      <w:ind w:left="0" w:leftChars="0" w:right="0" w:rightChars="0" w:firstLine="0" w:firstLineChars="0"/>
      <w:outlineLvl w:val="1"/>
    </w:pPr>
    <w:rPr>
      <w:b/>
      <w:bCs/>
      <w:sz w:val="30"/>
      <w:szCs w:val="30"/>
    </w:rPr>
  </w:style>
  <w:style w:type="paragraph" w:styleId="5">
    <w:name w:val="heading 3"/>
    <w:basedOn w:val="1"/>
    <w:next w:val="1"/>
    <w:link w:val="52"/>
    <w:qFormat/>
    <w:uiPriority w:val="0"/>
    <w:pPr>
      <w:keepNext/>
      <w:keepLines/>
      <w:spacing w:before="260" w:after="260" w:line="416" w:lineRule="auto"/>
      <w:outlineLvl w:val="2"/>
    </w:pPr>
    <w:rPr>
      <w:b/>
      <w:bCs/>
      <w:sz w:val="32"/>
      <w:szCs w:val="32"/>
    </w:rPr>
  </w:style>
  <w:style w:type="paragraph" w:styleId="6">
    <w:name w:val="heading 4"/>
    <w:basedOn w:val="1"/>
    <w:next w:val="1"/>
    <w:link w:val="50"/>
    <w:qFormat/>
    <w:uiPriority w:val="0"/>
    <w:pPr>
      <w:keepNext/>
      <w:keepLines/>
      <w:spacing w:before="280" w:after="290" w:line="376" w:lineRule="auto"/>
      <w:outlineLvl w:val="3"/>
    </w:pPr>
    <w:rPr>
      <w:rFonts w:ascii="Cambria" w:hAnsi="Cambria"/>
      <w:b/>
      <w:bCs/>
      <w:szCs w:val="28"/>
    </w:rPr>
  </w:style>
  <w:style w:type="paragraph" w:styleId="7">
    <w:name w:val="heading 5"/>
    <w:basedOn w:val="1"/>
    <w:next w:val="1"/>
    <w:link w:val="124"/>
    <w:qFormat/>
    <w:uiPriority w:val="0"/>
    <w:pPr>
      <w:keepNext/>
      <w:keepLines/>
      <w:spacing w:before="280" w:after="290" w:line="376" w:lineRule="auto"/>
      <w:outlineLvl w:val="4"/>
    </w:pPr>
    <w:rPr>
      <w:b/>
      <w:bCs/>
      <w:szCs w:val="28"/>
    </w:rPr>
  </w:style>
  <w:style w:type="character" w:default="1" w:styleId="32">
    <w:name w:val="Default Paragraph Font"/>
    <w:unhideWhenUsed/>
    <w:qFormat/>
    <w:uiPriority w:val="1"/>
  </w:style>
  <w:style w:type="table" w:default="1" w:styleId="39">
    <w:name w:val="Normal Table"/>
    <w:unhideWhenUsed/>
    <w:qFormat/>
    <w:uiPriority w:val="99"/>
    <w:tblPr>
      <w:tblLayout w:type="fixed"/>
      <w:tblCellMar>
        <w:top w:w="0" w:type="dxa"/>
        <w:left w:w="108" w:type="dxa"/>
        <w:bottom w:w="0" w:type="dxa"/>
        <w:right w:w="108" w:type="dxa"/>
      </w:tblCellMar>
    </w:tblPr>
  </w:style>
  <w:style w:type="paragraph" w:customStyle="1" w:styleId="4">
    <w:name w:val="1正文"/>
    <w:basedOn w:val="1"/>
    <w:link w:val="136"/>
    <w:qFormat/>
    <w:uiPriority w:val="0"/>
    <w:pPr>
      <w:spacing w:line="500" w:lineRule="exact"/>
      <w:ind w:left="0" w:leftChars="0" w:right="0" w:rightChars="0"/>
    </w:pPr>
  </w:style>
  <w:style w:type="paragraph" w:styleId="8">
    <w:name w:val="annotation subject"/>
    <w:basedOn w:val="9"/>
    <w:next w:val="9"/>
    <w:semiHidden/>
    <w:qFormat/>
    <w:uiPriority w:val="0"/>
    <w:rPr>
      <w:b/>
      <w:bCs/>
    </w:rPr>
  </w:style>
  <w:style w:type="paragraph" w:styleId="9">
    <w:name w:val="annotation text"/>
    <w:basedOn w:val="1"/>
    <w:semiHidden/>
    <w:qFormat/>
    <w:uiPriority w:val="0"/>
    <w:pPr>
      <w:jc w:val="left"/>
    </w:pPr>
  </w:style>
  <w:style w:type="paragraph" w:styleId="10">
    <w:name w:val="Normal Indent"/>
    <w:basedOn w:val="1"/>
    <w:link w:val="44"/>
    <w:qFormat/>
    <w:uiPriority w:val="0"/>
    <w:pPr>
      <w:spacing w:line="500" w:lineRule="exact"/>
      <w:ind w:firstLine="560"/>
    </w:pPr>
    <w:rPr>
      <w:rFonts w:ascii="仿宋_GB2312"/>
    </w:rPr>
  </w:style>
  <w:style w:type="paragraph" w:styleId="11">
    <w:name w:val="caption"/>
    <w:basedOn w:val="1"/>
    <w:next w:val="1"/>
    <w:link w:val="122"/>
    <w:qFormat/>
    <w:uiPriority w:val="0"/>
    <w:pPr>
      <w:keepNext/>
      <w:widowControl/>
      <w:adjustRightInd w:val="0"/>
      <w:snapToGrid w:val="0"/>
      <w:ind w:firstLine="422"/>
      <w:jc w:val="center"/>
    </w:pPr>
    <w:rPr>
      <w:rFonts w:ascii="仿宋_GB2312" w:hAnsi="宋体"/>
      <w:b/>
      <w:bCs/>
      <w:kern w:val="0"/>
      <w:szCs w:val="21"/>
      <w:lang w:val="zh-CN"/>
    </w:rPr>
  </w:style>
  <w:style w:type="paragraph" w:styleId="12">
    <w:name w:val="Document Map"/>
    <w:basedOn w:val="1"/>
    <w:link w:val="51"/>
    <w:qFormat/>
    <w:uiPriority w:val="0"/>
    <w:rPr>
      <w:rFonts w:ascii="宋体"/>
      <w:sz w:val="18"/>
      <w:szCs w:val="18"/>
    </w:rPr>
  </w:style>
  <w:style w:type="paragraph" w:styleId="13">
    <w:name w:val="Body Text"/>
    <w:basedOn w:val="1"/>
    <w:link w:val="57"/>
    <w:qFormat/>
    <w:uiPriority w:val="0"/>
    <w:rPr>
      <w:sz w:val="24"/>
      <w:szCs w:val="20"/>
    </w:rPr>
  </w:style>
  <w:style w:type="paragraph" w:styleId="14">
    <w:name w:val="Body Text Indent"/>
    <w:basedOn w:val="1"/>
    <w:link w:val="54"/>
    <w:qFormat/>
    <w:uiPriority w:val="0"/>
    <w:pPr>
      <w:spacing w:after="120"/>
      <w:ind w:left="420" w:leftChars="200"/>
    </w:pPr>
  </w:style>
  <w:style w:type="paragraph" w:styleId="15">
    <w:name w:val="toc 5"/>
    <w:basedOn w:val="1"/>
    <w:next w:val="1"/>
    <w:semiHidden/>
    <w:qFormat/>
    <w:uiPriority w:val="0"/>
    <w:pPr>
      <w:ind w:left="1680" w:leftChars="800"/>
    </w:pPr>
  </w:style>
  <w:style w:type="paragraph" w:styleId="16">
    <w:name w:val="toc 3"/>
    <w:basedOn w:val="1"/>
    <w:next w:val="1"/>
    <w:qFormat/>
    <w:uiPriority w:val="39"/>
    <w:pPr>
      <w:tabs>
        <w:tab w:val="right" w:leader="dot" w:pos="9072"/>
      </w:tabs>
      <w:ind w:left="0" w:leftChars="0" w:right="280" w:firstLine="142" w:firstLineChars="71"/>
    </w:pPr>
    <w:rPr>
      <w:sz w:val="20"/>
      <w:szCs w:val="20"/>
    </w:rPr>
  </w:style>
  <w:style w:type="paragraph" w:styleId="17">
    <w:name w:val="Plain Text"/>
    <w:basedOn w:val="1"/>
    <w:link w:val="121"/>
    <w:qFormat/>
    <w:uiPriority w:val="0"/>
    <w:pPr>
      <w:autoSpaceDE w:val="0"/>
      <w:autoSpaceDN w:val="0"/>
      <w:adjustRightInd w:val="0"/>
      <w:spacing w:line="440" w:lineRule="atLeast"/>
      <w:ind w:firstLine="425"/>
      <w:textAlignment w:val="baseline"/>
    </w:pPr>
    <w:rPr>
      <w:rFonts w:ascii="宋体" w:hAnsi="Tms Rmn"/>
      <w:kern w:val="0"/>
      <w:szCs w:val="20"/>
    </w:rPr>
  </w:style>
  <w:style w:type="paragraph" w:styleId="18">
    <w:name w:val="Date"/>
    <w:basedOn w:val="1"/>
    <w:next w:val="1"/>
    <w:link w:val="73"/>
    <w:qFormat/>
    <w:uiPriority w:val="0"/>
    <w:pPr>
      <w:ind w:left="2500" w:leftChars="2500"/>
    </w:pPr>
  </w:style>
  <w:style w:type="paragraph" w:styleId="19">
    <w:name w:val="Body Text Indent 2"/>
    <w:basedOn w:val="1"/>
    <w:link w:val="55"/>
    <w:qFormat/>
    <w:uiPriority w:val="0"/>
    <w:pPr>
      <w:spacing w:after="120" w:line="480" w:lineRule="auto"/>
      <w:ind w:left="420" w:leftChars="200"/>
    </w:pPr>
  </w:style>
  <w:style w:type="paragraph" w:styleId="20">
    <w:name w:val="Balloon Text"/>
    <w:basedOn w:val="1"/>
    <w:link w:val="87"/>
    <w:qFormat/>
    <w:uiPriority w:val="0"/>
    <w:rPr>
      <w:sz w:val="18"/>
      <w:szCs w:val="18"/>
    </w:rPr>
  </w:style>
  <w:style w:type="paragraph" w:styleId="21">
    <w:name w:val="footer"/>
    <w:basedOn w:val="1"/>
    <w:link w:val="88"/>
    <w:qFormat/>
    <w:uiPriority w:val="99"/>
    <w:pPr>
      <w:tabs>
        <w:tab w:val="center" w:pos="4153"/>
        <w:tab w:val="right" w:pos="8306"/>
      </w:tabs>
      <w:snapToGrid w:val="0"/>
      <w:jc w:val="left"/>
    </w:pPr>
    <w:rPr>
      <w:sz w:val="18"/>
      <w:szCs w:val="18"/>
    </w:rPr>
  </w:style>
  <w:style w:type="paragraph" w:styleId="22">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9072"/>
      </w:tabs>
      <w:spacing w:before="120" w:after="120"/>
      <w:ind w:left="0" w:leftChars="0" w:right="280" w:firstLine="0" w:firstLineChars="0"/>
      <w:jc w:val="left"/>
    </w:pPr>
    <w:rPr>
      <w:rFonts w:ascii="仿宋_GB2312"/>
      <w:b/>
      <w:bCs/>
      <w:caps/>
      <w:sz w:val="24"/>
    </w:rPr>
  </w:style>
  <w:style w:type="paragraph" w:styleId="24">
    <w:name w:val="toc 4"/>
    <w:basedOn w:val="1"/>
    <w:next w:val="1"/>
    <w:qFormat/>
    <w:uiPriority w:val="0"/>
    <w:pPr>
      <w:ind w:left="1260" w:leftChars="600"/>
    </w:pPr>
  </w:style>
  <w:style w:type="paragraph" w:styleId="25">
    <w:name w:val="List"/>
    <w:basedOn w:val="1"/>
    <w:qFormat/>
    <w:uiPriority w:val="0"/>
    <w:pPr>
      <w:spacing w:line="320" w:lineRule="exact"/>
      <w:jc w:val="center"/>
    </w:pPr>
    <w:rPr>
      <w:rFonts w:ascii="仿宋_GB2312"/>
      <w:sz w:val="24"/>
      <w:szCs w:val="20"/>
    </w:rPr>
  </w:style>
  <w:style w:type="paragraph" w:styleId="26">
    <w:name w:val="Body Text Indent 3"/>
    <w:basedOn w:val="1"/>
    <w:link w:val="77"/>
    <w:qFormat/>
    <w:uiPriority w:val="0"/>
    <w:pPr>
      <w:spacing w:after="120"/>
      <w:ind w:left="420" w:leftChars="200"/>
    </w:pPr>
    <w:rPr>
      <w:sz w:val="16"/>
      <w:szCs w:val="16"/>
    </w:rPr>
  </w:style>
  <w:style w:type="paragraph" w:styleId="27">
    <w:name w:val="toc 2"/>
    <w:basedOn w:val="1"/>
    <w:next w:val="1"/>
    <w:qFormat/>
    <w:uiPriority w:val="39"/>
    <w:pPr>
      <w:tabs>
        <w:tab w:val="right" w:leader="dot" w:pos="9072"/>
      </w:tabs>
      <w:spacing w:line="360" w:lineRule="exact"/>
      <w:ind w:left="0" w:leftChars="0" w:right="280" w:firstLine="0" w:firstLineChars="0"/>
    </w:pPr>
    <w:rPr>
      <w:smallCaps/>
      <w:sz w:val="20"/>
      <w:szCs w:val="20"/>
    </w:rPr>
  </w:style>
  <w:style w:type="paragraph" w:styleId="28">
    <w:name w:val="Body Text 2"/>
    <w:basedOn w:val="1"/>
    <w:link w:val="117"/>
    <w:qFormat/>
    <w:uiPriority w:val="0"/>
    <w:pPr>
      <w:spacing w:after="120" w:line="480" w:lineRule="auto"/>
    </w:p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31">
    <w:name w:val="Title"/>
    <w:basedOn w:val="1"/>
    <w:link w:val="61"/>
    <w:qFormat/>
    <w:uiPriority w:val="0"/>
    <w:pPr>
      <w:spacing w:before="120" w:after="120" w:line="360" w:lineRule="auto"/>
      <w:jc w:val="center"/>
      <w:outlineLvl w:val="0"/>
    </w:pPr>
    <w:rPr>
      <w:rFonts w:ascii="Arial" w:hAnsi="Arial" w:eastAsia="黑体"/>
      <w:b/>
      <w:bCs/>
      <w:sz w:val="32"/>
      <w:szCs w:val="32"/>
    </w:rPr>
  </w:style>
  <w:style w:type="character" w:styleId="33">
    <w:name w:val="Strong"/>
    <w:qFormat/>
    <w:uiPriority w:val="0"/>
    <w:rPr>
      <w:b/>
      <w:bCs/>
    </w:rPr>
  </w:style>
  <w:style w:type="character" w:styleId="34">
    <w:name w:val="page number"/>
    <w:basedOn w:val="32"/>
    <w:qFormat/>
    <w:uiPriority w:val="0"/>
  </w:style>
  <w:style w:type="character" w:styleId="35">
    <w:name w:val="FollowedHyperlink"/>
    <w:qFormat/>
    <w:uiPriority w:val="99"/>
    <w:rPr>
      <w:color w:val="800080"/>
      <w:u w:val="single"/>
    </w:rPr>
  </w:style>
  <w:style w:type="character" w:styleId="36">
    <w:name w:val="Emphasis"/>
    <w:qFormat/>
    <w:uiPriority w:val="0"/>
    <w:rPr>
      <w:i/>
      <w:iCs/>
    </w:rPr>
  </w:style>
  <w:style w:type="character" w:styleId="37">
    <w:name w:val="Hyperlink"/>
    <w:qFormat/>
    <w:uiPriority w:val="99"/>
    <w:rPr>
      <w:color w:val="0000FF"/>
      <w:u w:val="single"/>
    </w:rPr>
  </w:style>
  <w:style w:type="character" w:styleId="38">
    <w:name w:val="annotation reference"/>
    <w:semiHidden/>
    <w:qFormat/>
    <w:uiPriority w:val="0"/>
    <w:rPr>
      <w:sz w:val="21"/>
      <w:szCs w:val="21"/>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1">
    <w:name w:val="Table Grid 1"/>
    <w:basedOn w:val="3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paragraph" w:customStyle="1" w:styleId="42">
    <w:name w:val="图表文字"/>
    <w:basedOn w:val="1"/>
    <w:link w:val="43"/>
    <w:qFormat/>
    <w:uiPriority w:val="0"/>
    <w:pPr>
      <w:jc w:val="center"/>
    </w:pPr>
    <w:rPr>
      <w:rFonts w:ascii="仿宋_GB2312"/>
    </w:rPr>
  </w:style>
  <w:style w:type="character" w:customStyle="1" w:styleId="43">
    <w:name w:val="图表文字 Char"/>
    <w:link w:val="42"/>
    <w:qFormat/>
    <w:uiPriority w:val="0"/>
    <w:rPr>
      <w:rFonts w:ascii="仿宋_GB2312" w:eastAsia="仿宋_GB2312"/>
      <w:kern w:val="2"/>
      <w:sz w:val="21"/>
      <w:szCs w:val="24"/>
      <w:lang w:val="en-US" w:eastAsia="zh-CN" w:bidi="ar-SA"/>
    </w:rPr>
  </w:style>
  <w:style w:type="character" w:customStyle="1" w:styleId="44">
    <w:name w:val="正文缩进 Char"/>
    <w:link w:val="10"/>
    <w:qFormat/>
    <w:uiPriority w:val="0"/>
    <w:rPr>
      <w:rFonts w:ascii="仿宋_GB2312" w:eastAsia="仿宋_GB2312"/>
      <w:kern w:val="2"/>
      <w:sz w:val="28"/>
      <w:szCs w:val="24"/>
      <w:lang w:val="en-US" w:eastAsia="zh-CN" w:bidi="ar-SA"/>
    </w:rPr>
  </w:style>
  <w:style w:type="paragraph" w:customStyle="1" w:styleId="45">
    <w:name w:val="表格文字"/>
    <w:basedOn w:val="1"/>
    <w:link w:val="46"/>
    <w:qFormat/>
    <w:uiPriority w:val="0"/>
    <w:pPr>
      <w:spacing w:line="360" w:lineRule="exact"/>
      <w:jc w:val="center"/>
    </w:pPr>
    <w:rPr>
      <w:rFonts w:ascii="楷体_GB2312" w:eastAsia="楷体_GB2312"/>
    </w:rPr>
  </w:style>
  <w:style w:type="character" w:customStyle="1" w:styleId="46">
    <w:name w:val="表格文字 Char"/>
    <w:link w:val="45"/>
    <w:qFormat/>
    <w:locked/>
    <w:uiPriority w:val="0"/>
    <w:rPr>
      <w:rFonts w:ascii="楷体_GB2312" w:eastAsia="楷体_GB2312"/>
      <w:kern w:val="2"/>
      <w:sz w:val="21"/>
      <w:szCs w:val="24"/>
      <w:lang w:val="en-US" w:eastAsia="zh-CN" w:bidi="ar-SA"/>
    </w:rPr>
  </w:style>
  <w:style w:type="paragraph" w:customStyle="1" w:styleId="47">
    <w:name w:val="表标题"/>
    <w:basedOn w:val="1"/>
    <w:link w:val="48"/>
    <w:qFormat/>
    <w:uiPriority w:val="0"/>
    <w:pPr>
      <w:spacing w:line="500" w:lineRule="exact"/>
      <w:ind w:firstLine="482"/>
      <w:jc w:val="center"/>
    </w:pPr>
    <w:rPr>
      <w:rFonts w:ascii="仿宋_GB2312"/>
      <w:b/>
      <w:bCs/>
      <w:sz w:val="24"/>
    </w:rPr>
  </w:style>
  <w:style w:type="character" w:customStyle="1" w:styleId="48">
    <w:name w:val="表标题 Char"/>
    <w:link w:val="47"/>
    <w:qFormat/>
    <w:locked/>
    <w:uiPriority w:val="0"/>
    <w:rPr>
      <w:rFonts w:ascii="仿宋_GB2312" w:eastAsia="仿宋_GB2312"/>
      <w:b/>
      <w:bCs/>
      <w:kern w:val="2"/>
      <w:sz w:val="24"/>
      <w:szCs w:val="24"/>
      <w:lang w:val="en-US" w:eastAsia="zh-CN" w:bidi="ar-SA"/>
    </w:rPr>
  </w:style>
  <w:style w:type="character" w:customStyle="1" w:styleId="49">
    <w:name w:val="标题 2 Char"/>
    <w:link w:val="3"/>
    <w:qFormat/>
    <w:uiPriority w:val="0"/>
    <w:rPr>
      <w:rFonts w:eastAsia="仿宋_GB2312"/>
      <w:b/>
      <w:bCs/>
      <w:kern w:val="2"/>
      <w:sz w:val="30"/>
      <w:szCs w:val="30"/>
    </w:rPr>
  </w:style>
  <w:style w:type="character" w:customStyle="1" w:styleId="50">
    <w:name w:val="标题 4 Char"/>
    <w:link w:val="6"/>
    <w:qFormat/>
    <w:uiPriority w:val="0"/>
    <w:rPr>
      <w:rFonts w:ascii="Cambria" w:hAnsi="Cambria" w:eastAsia="宋体" w:cs="Times New Roman"/>
      <w:b/>
      <w:bCs/>
      <w:kern w:val="2"/>
      <w:sz w:val="28"/>
      <w:szCs w:val="28"/>
    </w:rPr>
  </w:style>
  <w:style w:type="character" w:customStyle="1" w:styleId="51">
    <w:name w:val="文档结构图 Char"/>
    <w:link w:val="12"/>
    <w:qFormat/>
    <w:uiPriority w:val="0"/>
    <w:rPr>
      <w:rFonts w:ascii="宋体"/>
      <w:kern w:val="2"/>
      <w:sz w:val="18"/>
      <w:szCs w:val="18"/>
    </w:rPr>
  </w:style>
  <w:style w:type="character" w:customStyle="1" w:styleId="52">
    <w:name w:val="标题 3 Char"/>
    <w:link w:val="5"/>
    <w:qFormat/>
    <w:uiPriority w:val="0"/>
    <w:rPr>
      <w:b/>
      <w:bCs/>
      <w:kern w:val="2"/>
      <w:sz w:val="32"/>
      <w:szCs w:val="32"/>
    </w:rPr>
  </w:style>
  <w:style w:type="character" w:customStyle="1" w:styleId="53">
    <w:name w:val="页眉 Char"/>
    <w:link w:val="22"/>
    <w:qFormat/>
    <w:uiPriority w:val="99"/>
    <w:rPr>
      <w:kern w:val="2"/>
      <w:sz w:val="18"/>
      <w:szCs w:val="18"/>
    </w:rPr>
  </w:style>
  <w:style w:type="character" w:customStyle="1" w:styleId="54">
    <w:name w:val="正文文本缩进 Char"/>
    <w:link w:val="14"/>
    <w:qFormat/>
    <w:uiPriority w:val="0"/>
    <w:rPr>
      <w:kern w:val="2"/>
      <w:sz w:val="21"/>
      <w:szCs w:val="24"/>
    </w:rPr>
  </w:style>
  <w:style w:type="character" w:customStyle="1" w:styleId="55">
    <w:name w:val="正文文本缩进 2 Char"/>
    <w:link w:val="19"/>
    <w:qFormat/>
    <w:uiPriority w:val="0"/>
    <w:rPr>
      <w:kern w:val="2"/>
      <w:sz w:val="21"/>
      <w:szCs w:val="24"/>
    </w:rPr>
  </w:style>
  <w:style w:type="paragraph" w:customStyle="1" w:styleId="56">
    <w:name w:val="默认段落字体 Para Char Char Char Char"/>
    <w:basedOn w:val="1"/>
    <w:qFormat/>
    <w:uiPriority w:val="0"/>
    <w:rPr>
      <w:sz w:val="24"/>
    </w:rPr>
  </w:style>
  <w:style w:type="character" w:customStyle="1" w:styleId="57">
    <w:name w:val="正文文本 Char"/>
    <w:link w:val="13"/>
    <w:qFormat/>
    <w:uiPriority w:val="0"/>
    <w:rPr>
      <w:kern w:val="2"/>
      <w:sz w:val="24"/>
    </w:rPr>
  </w:style>
  <w:style w:type="paragraph" w:customStyle="1" w:styleId="58">
    <w:name w:val="图文字"/>
    <w:basedOn w:val="1"/>
    <w:qFormat/>
    <w:uiPriority w:val="0"/>
    <w:pPr>
      <w:spacing w:line="320" w:lineRule="exact"/>
      <w:jc w:val="center"/>
    </w:pPr>
    <w:rPr>
      <w:rFonts w:ascii="楷体_GB2312" w:hAnsi="宋体" w:eastAsia="楷体_GB2312"/>
      <w:bCs/>
      <w:color w:val="000000"/>
      <w:szCs w:val="21"/>
    </w:rPr>
  </w:style>
  <w:style w:type="paragraph" w:customStyle="1" w:styleId="59">
    <w:name w:val="普通 (Web)"/>
    <w:basedOn w:val="1"/>
    <w:next w:val="1"/>
    <w:qFormat/>
    <w:uiPriority w:val="0"/>
    <w:pPr>
      <w:autoSpaceDE w:val="0"/>
      <w:autoSpaceDN w:val="0"/>
      <w:adjustRightInd w:val="0"/>
      <w:spacing w:before="100" w:after="100"/>
      <w:jc w:val="left"/>
    </w:pPr>
    <w:rPr>
      <w:rFonts w:ascii="宋体"/>
      <w:kern w:val="0"/>
      <w:sz w:val="24"/>
    </w:rPr>
  </w:style>
  <w:style w:type="paragraph" w:customStyle="1" w:styleId="60">
    <w:name w:val="Body Text Indent1"/>
    <w:basedOn w:val="1"/>
    <w:qFormat/>
    <w:uiPriority w:val="0"/>
    <w:pPr>
      <w:adjustRightInd w:val="0"/>
      <w:spacing w:after="120" w:line="360" w:lineRule="auto"/>
      <w:ind w:left="420" w:leftChars="200"/>
      <w:textAlignment w:val="baseline"/>
    </w:pPr>
    <w:rPr>
      <w:sz w:val="24"/>
    </w:rPr>
  </w:style>
  <w:style w:type="character" w:customStyle="1" w:styleId="61">
    <w:name w:val="标题 Char"/>
    <w:link w:val="31"/>
    <w:qFormat/>
    <w:uiPriority w:val="0"/>
    <w:rPr>
      <w:rFonts w:ascii="Arial" w:hAnsi="Arial" w:eastAsia="黑体" w:cs="Arial"/>
      <w:b/>
      <w:bCs/>
      <w:kern w:val="2"/>
      <w:sz w:val="32"/>
      <w:szCs w:val="32"/>
    </w:rPr>
  </w:style>
  <w:style w:type="paragraph" w:customStyle="1" w:styleId="62">
    <w:name w:val="图框文字"/>
    <w:basedOn w:val="1"/>
    <w:qFormat/>
    <w:uiPriority w:val="0"/>
    <w:pPr>
      <w:jc w:val="center"/>
      <w:textAlignment w:val="center"/>
    </w:pPr>
  </w:style>
  <w:style w:type="paragraph" w:customStyle="1" w:styleId="63">
    <w:name w:val="Char Char Char Char Char Char"/>
    <w:basedOn w:val="1"/>
    <w:link w:val="64"/>
    <w:qFormat/>
    <w:uiPriority w:val="0"/>
    <w:rPr>
      <w:sz w:val="24"/>
    </w:rPr>
  </w:style>
  <w:style w:type="character" w:customStyle="1" w:styleId="64">
    <w:name w:val="Char Char Char Char Char Char Char"/>
    <w:link w:val="63"/>
    <w:qFormat/>
    <w:uiPriority w:val="0"/>
    <w:rPr>
      <w:kern w:val="2"/>
      <w:sz w:val="24"/>
      <w:szCs w:val="24"/>
    </w:rPr>
  </w:style>
  <w:style w:type="paragraph" w:customStyle="1" w:styleId="65">
    <w:name w:val="正文文字"/>
    <w:basedOn w:val="1"/>
    <w:link w:val="66"/>
    <w:qFormat/>
    <w:uiPriority w:val="0"/>
    <w:pPr>
      <w:adjustRightInd w:val="0"/>
      <w:spacing w:line="360" w:lineRule="auto"/>
      <w:jc w:val="left"/>
      <w:textAlignment w:val="baseline"/>
    </w:pPr>
    <w:rPr>
      <w:rFonts w:ascii="仿宋_GB2312" w:hAnsi="Arial Black"/>
      <w:kern w:val="0"/>
      <w:szCs w:val="28"/>
    </w:rPr>
  </w:style>
  <w:style w:type="character" w:customStyle="1" w:styleId="66">
    <w:name w:val="正文文字 Char"/>
    <w:link w:val="65"/>
    <w:qFormat/>
    <w:uiPriority w:val="0"/>
    <w:rPr>
      <w:rFonts w:ascii="仿宋_GB2312" w:hAnsi="Arial Black" w:eastAsia="仿宋_GB2312" w:cs="仿宋_GB2312"/>
      <w:sz w:val="28"/>
      <w:szCs w:val="28"/>
    </w:rPr>
  </w:style>
  <w:style w:type="paragraph" w:customStyle="1" w:styleId="67">
    <w:name w:val="Char Char Char Char Char Char Char Char Char Char Char Char Char Char Char Char Char Char Char Char Char Char Char Char Char Char Char Char Char Char2 Char Char Char Char Char Char Char"/>
    <w:basedOn w:val="1"/>
    <w:qFormat/>
    <w:uiPriority w:val="0"/>
    <w:rPr>
      <w:sz w:val="24"/>
    </w:rPr>
  </w:style>
  <w:style w:type="paragraph" w:customStyle="1" w:styleId="68">
    <w:name w:val="样式10"/>
    <w:basedOn w:val="42"/>
    <w:qFormat/>
    <w:uiPriority w:val="0"/>
    <w:pPr>
      <w:adjustRightInd w:val="0"/>
      <w:textAlignment w:val="baseline"/>
    </w:pPr>
    <w:rPr>
      <w:rFonts w:hAnsi="宋体"/>
      <w:bCs/>
      <w:color w:val="FF0000"/>
      <w:szCs w:val="21"/>
    </w:rPr>
  </w:style>
  <w:style w:type="paragraph" w:customStyle="1" w:styleId="69">
    <w:name w:val="Date1"/>
    <w:basedOn w:val="1"/>
    <w:next w:val="1"/>
    <w:qFormat/>
    <w:uiPriority w:val="0"/>
    <w:pPr>
      <w:adjustRightInd w:val="0"/>
      <w:textAlignment w:val="baseline"/>
    </w:pPr>
    <w:rPr>
      <w:szCs w:val="20"/>
    </w:rPr>
  </w:style>
  <w:style w:type="paragraph" w:customStyle="1" w:styleId="70">
    <w:name w:val="图文框"/>
    <w:basedOn w:val="1"/>
    <w:qFormat/>
    <w:uiPriority w:val="0"/>
    <w:pPr>
      <w:spacing w:line="320" w:lineRule="exact"/>
      <w:jc w:val="center"/>
    </w:pPr>
    <w:rPr>
      <w:rFonts w:ascii="仿宋_GB2312"/>
      <w:bCs/>
      <w:szCs w:val="20"/>
    </w:rPr>
  </w:style>
  <w:style w:type="paragraph" w:customStyle="1" w:styleId="71">
    <w:name w:val="表格的文字"/>
    <w:basedOn w:val="1"/>
    <w:link w:val="125"/>
    <w:qFormat/>
    <w:uiPriority w:val="0"/>
    <w:pPr>
      <w:spacing w:line="300" w:lineRule="exact"/>
      <w:jc w:val="center"/>
    </w:pPr>
    <w:rPr>
      <w:rFonts w:ascii="仿宋_GB2312"/>
      <w:bCs/>
    </w:rPr>
  </w:style>
  <w:style w:type="character" w:customStyle="1" w:styleId="72">
    <w:name w:val="style41"/>
    <w:qFormat/>
    <w:uiPriority w:val="0"/>
    <w:rPr>
      <w:b/>
      <w:bCs/>
      <w:sz w:val="21"/>
      <w:szCs w:val="21"/>
    </w:rPr>
  </w:style>
  <w:style w:type="character" w:customStyle="1" w:styleId="73">
    <w:name w:val="日期 Char"/>
    <w:link w:val="18"/>
    <w:qFormat/>
    <w:uiPriority w:val="0"/>
    <w:rPr>
      <w:kern w:val="2"/>
      <w:sz w:val="21"/>
      <w:szCs w:val="24"/>
    </w:rPr>
  </w:style>
  <w:style w:type="paragraph" w:customStyle="1" w:styleId="74">
    <w:name w:val="5 Char"/>
    <w:basedOn w:val="1"/>
    <w:qFormat/>
    <w:uiPriority w:val="0"/>
    <w:rPr>
      <w:sz w:val="24"/>
    </w:rPr>
  </w:style>
  <w:style w:type="paragraph" w:customStyle="1" w:styleId="75">
    <w:name w:val="首行缩进"/>
    <w:basedOn w:val="1"/>
    <w:link w:val="123"/>
    <w:qFormat/>
    <w:uiPriority w:val="0"/>
    <w:pPr>
      <w:adjustRightInd w:val="0"/>
      <w:spacing w:line="360" w:lineRule="auto"/>
      <w:ind w:firstLine="480"/>
      <w:textAlignment w:val="baseline"/>
    </w:pPr>
    <w:rPr>
      <w:sz w:val="24"/>
    </w:rPr>
  </w:style>
  <w:style w:type="character" w:customStyle="1" w:styleId="76">
    <w:name w:val="pccs1"/>
    <w:qFormat/>
    <w:uiPriority w:val="0"/>
    <w:rPr>
      <w:sz w:val="18"/>
      <w:szCs w:val="18"/>
    </w:rPr>
  </w:style>
  <w:style w:type="character" w:customStyle="1" w:styleId="77">
    <w:name w:val="正文文本缩进 3 Char"/>
    <w:link w:val="26"/>
    <w:qFormat/>
    <w:uiPriority w:val="0"/>
    <w:rPr>
      <w:kern w:val="2"/>
      <w:sz w:val="16"/>
      <w:szCs w:val="16"/>
    </w:rPr>
  </w:style>
  <w:style w:type="paragraph" w:customStyle="1" w:styleId="78">
    <w:name w:val="表格03"/>
    <w:basedOn w:val="1"/>
    <w:qFormat/>
    <w:uiPriority w:val="0"/>
    <w:pPr>
      <w:spacing w:line="400" w:lineRule="exact"/>
      <w:jc w:val="center"/>
    </w:pPr>
    <w:rPr>
      <w:color w:val="000000"/>
      <w:sz w:val="24"/>
      <w:szCs w:val="21"/>
    </w:rPr>
  </w:style>
  <w:style w:type="paragraph" w:customStyle="1" w:styleId="79">
    <w:name w:val="图标题"/>
    <w:basedOn w:val="47"/>
    <w:qFormat/>
    <w:uiPriority w:val="0"/>
    <w:pPr>
      <w:spacing w:line="300" w:lineRule="exact"/>
      <w:ind w:firstLine="0" w:firstLineChars="0"/>
      <w:jc w:val="both"/>
    </w:pPr>
  </w:style>
  <w:style w:type="paragraph" w:customStyle="1" w:styleId="80">
    <w:name w:val="表格1"/>
    <w:basedOn w:val="1"/>
    <w:qFormat/>
    <w:uiPriority w:val="0"/>
    <w:pPr>
      <w:adjustRightInd w:val="0"/>
      <w:spacing w:line="360" w:lineRule="auto"/>
      <w:jc w:val="center"/>
      <w:textAlignment w:val="baseline"/>
    </w:pPr>
    <w:rPr>
      <w:rFonts w:ascii="宋体"/>
      <w:kern w:val="0"/>
      <w:szCs w:val="20"/>
    </w:rPr>
  </w:style>
  <w:style w:type="paragraph" w:customStyle="1" w:styleId="81">
    <w:name w:val="报告书表格"/>
    <w:basedOn w:val="1"/>
    <w:qFormat/>
    <w:uiPriority w:val="0"/>
    <w:pPr>
      <w:adjustRightInd w:val="0"/>
      <w:spacing w:before="40" w:after="40" w:line="380" w:lineRule="exact"/>
      <w:jc w:val="center"/>
      <w:textAlignment w:val="baseline"/>
    </w:pPr>
    <w:rPr>
      <w:bCs/>
      <w:spacing w:val="-20"/>
      <w:kern w:val="0"/>
      <w:sz w:val="18"/>
      <w:szCs w:val="18"/>
    </w:rPr>
  </w:style>
  <w:style w:type="paragraph" w:customStyle="1" w:styleId="82">
    <w:name w:val="报告 Char"/>
    <w:basedOn w:val="1"/>
    <w:qFormat/>
    <w:uiPriority w:val="0"/>
    <w:pPr>
      <w:adjustRightInd w:val="0"/>
      <w:spacing w:line="360" w:lineRule="auto"/>
      <w:ind w:firstLine="505"/>
      <w:textAlignment w:val="baseline"/>
    </w:pPr>
    <w:rPr>
      <w:sz w:val="24"/>
    </w:rPr>
  </w:style>
  <w:style w:type="paragraph" w:customStyle="1" w:styleId="83">
    <w:name w:val="正文格式"/>
    <w:basedOn w:val="1"/>
    <w:qFormat/>
    <w:uiPriority w:val="0"/>
    <w:pPr>
      <w:spacing w:line="360" w:lineRule="auto"/>
      <w:ind w:firstLine="482"/>
    </w:pPr>
    <w:rPr>
      <w:rFonts w:ascii="宋体" w:cs="宋体"/>
      <w:sz w:val="24"/>
    </w:rPr>
  </w:style>
  <w:style w:type="paragraph" w:customStyle="1" w:styleId="84">
    <w:name w:val="图表标题"/>
    <w:basedOn w:val="1"/>
    <w:next w:val="1"/>
    <w:qFormat/>
    <w:uiPriority w:val="0"/>
    <w:pPr>
      <w:adjustRightInd w:val="0"/>
      <w:snapToGrid w:val="0"/>
      <w:jc w:val="center"/>
      <w:textAlignment w:val="baseline"/>
    </w:pPr>
    <w:rPr>
      <w:rFonts w:hAnsi="宋体"/>
      <w:kern w:val="0"/>
      <w:szCs w:val="28"/>
    </w:rPr>
  </w:style>
  <w:style w:type="paragraph" w:customStyle="1" w:styleId="85">
    <w:name w:val="无间隔1"/>
    <w:link w:val="86"/>
    <w:qFormat/>
    <w:uiPriority w:val="1"/>
    <w:rPr>
      <w:rFonts w:ascii="Calibri" w:hAnsi="Calibri" w:eastAsia="宋体" w:cs="Times New Roman"/>
      <w:sz w:val="22"/>
      <w:szCs w:val="22"/>
      <w:lang w:val="en-US" w:eastAsia="zh-CN" w:bidi="ar-SA"/>
    </w:rPr>
  </w:style>
  <w:style w:type="character" w:customStyle="1" w:styleId="86">
    <w:name w:val="无间隔 Char"/>
    <w:link w:val="85"/>
    <w:qFormat/>
    <w:uiPriority w:val="1"/>
    <w:rPr>
      <w:rFonts w:ascii="Calibri" w:hAnsi="Calibri"/>
      <w:sz w:val="22"/>
      <w:szCs w:val="22"/>
      <w:lang w:bidi="ar-SA"/>
    </w:rPr>
  </w:style>
  <w:style w:type="character" w:customStyle="1" w:styleId="87">
    <w:name w:val="批注框文本 Char"/>
    <w:link w:val="20"/>
    <w:qFormat/>
    <w:uiPriority w:val="0"/>
    <w:rPr>
      <w:kern w:val="2"/>
      <w:sz w:val="18"/>
      <w:szCs w:val="18"/>
    </w:rPr>
  </w:style>
  <w:style w:type="character" w:customStyle="1" w:styleId="88">
    <w:name w:val="页脚 Char"/>
    <w:link w:val="21"/>
    <w:qFormat/>
    <w:uiPriority w:val="99"/>
    <w:rPr>
      <w:kern w:val="2"/>
      <w:sz w:val="18"/>
      <w:szCs w:val="18"/>
    </w:rPr>
  </w:style>
  <w:style w:type="paragraph" w:customStyle="1" w:styleId="89">
    <w:name w:val="font5"/>
    <w:basedOn w:val="1"/>
    <w:qFormat/>
    <w:uiPriority w:val="0"/>
    <w:pPr>
      <w:widowControl/>
      <w:spacing w:before="100" w:beforeAutospacing="1" w:after="100" w:afterAutospacing="1"/>
      <w:jc w:val="left"/>
    </w:pPr>
    <w:rPr>
      <w:kern w:val="0"/>
      <w:sz w:val="20"/>
      <w:szCs w:val="20"/>
    </w:rPr>
  </w:style>
  <w:style w:type="paragraph" w:customStyle="1" w:styleId="9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1">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2">
    <w:name w:val="font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3">
    <w:name w:val="xl6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9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96">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97">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0"/>
      <w:szCs w:val="20"/>
    </w:rPr>
  </w:style>
  <w:style w:type="paragraph" w:customStyle="1" w:styleId="98">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0"/>
      <w:szCs w:val="20"/>
    </w:rPr>
  </w:style>
  <w:style w:type="paragraph" w:customStyle="1" w:styleId="99">
    <w:name w:val="xl7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0">
    <w:name w:val="xl75"/>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1">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2">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03">
    <w:name w:val="xl7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4">
    <w:name w:val="xl7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5">
    <w:name w:val="xl8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06">
    <w:name w:val="xl8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7">
    <w:name w:val="xl8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kern w:val="0"/>
      <w:sz w:val="20"/>
      <w:szCs w:val="20"/>
    </w:rPr>
  </w:style>
  <w:style w:type="paragraph" w:customStyle="1" w:styleId="10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9">
    <w:name w:val="xl8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10">
    <w:name w:val="xl8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11">
    <w:name w:val="xl86"/>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12">
    <w:name w:val="xl8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3">
    <w:name w:val="xl8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1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5">
    <w:name w:val="xl90"/>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116">
    <w:name w:val="xl91"/>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character" w:customStyle="1" w:styleId="117">
    <w:name w:val="正文文本 2 Char"/>
    <w:link w:val="28"/>
    <w:qFormat/>
    <w:uiPriority w:val="0"/>
    <w:rPr>
      <w:kern w:val="2"/>
      <w:sz w:val="21"/>
      <w:szCs w:val="24"/>
    </w:rPr>
  </w:style>
  <w:style w:type="paragraph" w:customStyle="1" w:styleId="118">
    <w:name w:val="正文文本缩进1"/>
    <w:basedOn w:val="1"/>
    <w:qFormat/>
    <w:uiPriority w:val="0"/>
    <w:pPr>
      <w:adjustRightInd w:val="0"/>
      <w:spacing w:after="120" w:line="360" w:lineRule="auto"/>
      <w:ind w:left="420" w:leftChars="200"/>
      <w:textAlignment w:val="baseline"/>
    </w:pPr>
    <w:rPr>
      <w:sz w:val="24"/>
    </w:rPr>
  </w:style>
  <w:style w:type="paragraph" w:customStyle="1" w:styleId="119">
    <w:name w:val="Char"/>
    <w:basedOn w:val="1"/>
    <w:qFormat/>
    <w:uiPriority w:val="0"/>
    <w:rPr>
      <w:sz w:val="24"/>
    </w:rPr>
  </w:style>
  <w:style w:type="paragraph" w:customStyle="1" w:styleId="120">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character" w:customStyle="1" w:styleId="121">
    <w:name w:val="纯文本 Char"/>
    <w:link w:val="17"/>
    <w:qFormat/>
    <w:uiPriority w:val="0"/>
    <w:rPr>
      <w:rFonts w:ascii="宋体" w:hAnsi="Tms Rmn"/>
      <w:sz w:val="28"/>
    </w:rPr>
  </w:style>
  <w:style w:type="character" w:customStyle="1" w:styleId="122">
    <w:name w:val="题注 Char"/>
    <w:link w:val="11"/>
    <w:qFormat/>
    <w:uiPriority w:val="0"/>
    <w:rPr>
      <w:rFonts w:ascii="仿宋_GB2312" w:hAnsi="宋体" w:eastAsia="仿宋_GB2312"/>
      <w:b/>
      <w:bCs/>
      <w:sz w:val="21"/>
      <w:szCs w:val="21"/>
      <w:lang w:val="zh-CN"/>
    </w:rPr>
  </w:style>
  <w:style w:type="character" w:customStyle="1" w:styleId="123">
    <w:name w:val="首行缩进 Char"/>
    <w:link w:val="75"/>
    <w:qFormat/>
    <w:uiPriority w:val="0"/>
    <w:rPr>
      <w:kern w:val="2"/>
      <w:sz w:val="24"/>
      <w:szCs w:val="24"/>
    </w:rPr>
  </w:style>
  <w:style w:type="character" w:customStyle="1" w:styleId="124">
    <w:name w:val="标题 5 Char"/>
    <w:link w:val="7"/>
    <w:qFormat/>
    <w:uiPriority w:val="0"/>
    <w:rPr>
      <w:b/>
      <w:bCs/>
      <w:kern w:val="2"/>
      <w:sz w:val="28"/>
      <w:szCs w:val="28"/>
    </w:rPr>
  </w:style>
  <w:style w:type="character" w:customStyle="1" w:styleId="125">
    <w:name w:val="表格的文字 Char"/>
    <w:link w:val="71"/>
    <w:qFormat/>
    <w:uiPriority w:val="0"/>
    <w:rPr>
      <w:rFonts w:ascii="仿宋_GB2312" w:eastAsia="仿宋_GB2312"/>
      <w:bCs/>
      <w:kern w:val="2"/>
      <w:sz w:val="21"/>
      <w:szCs w:val="24"/>
      <w:lang w:val="en-US" w:eastAsia="zh-CN" w:bidi="ar-SA"/>
    </w:rPr>
  </w:style>
  <w:style w:type="paragraph" w:customStyle="1" w:styleId="126">
    <w:name w:val="列出段落1"/>
    <w:basedOn w:val="1"/>
    <w:qFormat/>
    <w:uiPriority w:val="34"/>
    <w:pPr>
      <w:ind w:firstLine="420"/>
    </w:pPr>
    <w:rPr>
      <w:rFonts w:ascii="Calibri" w:hAnsi="Calibri" w:eastAsia="宋体"/>
      <w:szCs w:val="22"/>
    </w:rPr>
  </w:style>
  <w:style w:type="paragraph" w:customStyle="1" w:styleId="127">
    <w:name w:val="1.1.1标题"/>
    <w:basedOn w:val="1"/>
    <w:link w:val="129"/>
    <w:qFormat/>
    <w:uiPriority w:val="0"/>
    <w:pPr>
      <w:snapToGrid w:val="0"/>
      <w:spacing w:line="500" w:lineRule="exact"/>
    </w:pPr>
    <w:rPr>
      <w:b/>
      <w:color w:val="FF0000"/>
      <w:szCs w:val="28"/>
    </w:rPr>
  </w:style>
  <w:style w:type="paragraph" w:customStyle="1" w:styleId="128">
    <w:name w:val="1.1.1 标题"/>
    <w:basedOn w:val="127"/>
    <w:link w:val="131"/>
    <w:qFormat/>
    <w:uiPriority w:val="0"/>
    <w:rPr>
      <w:color w:val="auto"/>
    </w:rPr>
  </w:style>
  <w:style w:type="character" w:customStyle="1" w:styleId="129">
    <w:name w:val="1.1.1标题 Char"/>
    <w:link w:val="127"/>
    <w:qFormat/>
    <w:uiPriority w:val="0"/>
    <w:rPr>
      <w:rFonts w:eastAsia="仿宋_GB2312"/>
      <w:b/>
      <w:color w:val="FF0000"/>
      <w:kern w:val="2"/>
      <w:sz w:val="28"/>
      <w:szCs w:val="28"/>
    </w:rPr>
  </w:style>
  <w:style w:type="paragraph" w:customStyle="1" w:styleId="130">
    <w:name w:val="1.1.1 小标题"/>
    <w:basedOn w:val="3"/>
    <w:link w:val="133"/>
    <w:qFormat/>
    <w:uiPriority w:val="0"/>
    <w:rPr>
      <w:sz w:val="28"/>
      <w:szCs w:val="28"/>
    </w:rPr>
  </w:style>
  <w:style w:type="character" w:customStyle="1" w:styleId="131">
    <w:name w:val="1.1.1 标题 Char"/>
    <w:basedOn w:val="129"/>
    <w:link w:val="128"/>
    <w:qFormat/>
    <w:uiPriority w:val="0"/>
    <w:rPr>
      <w:rFonts w:eastAsia="仿宋_GB2312"/>
      <w:color w:val="FF0000"/>
      <w:kern w:val="2"/>
      <w:sz w:val="28"/>
      <w:szCs w:val="28"/>
    </w:rPr>
  </w:style>
  <w:style w:type="paragraph" w:customStyle="1" w:styleId="132">
    <w:name w:val="1.1.1 小标题1"/>
    <w:basedOn w:val="130"/>
    <w:next w:val="4"/>
    <w:link w:val="134"/>
    <w:qFormat/>
    <w:uiPriority w:val="0"/>
    <w:pPr>
      <w:spacing w:before="20" w:after="20"/>
      <w:outlineLvl w:val="2"/>
    </w:pPr>
  </w:style>
  <w:style w:type="character" w:customStyle="1" w:styleId="133">
    <w:name w:val="1.1.1 小标题 Char"/>
    <w:link w:val="130"/>
    <w:qFormat/>
    <w:uiPriority w:val="0"/>
    <w:rPr>
      <w:rFonts w:eastAsia="仿宋_GB2312"/>
      <w:b/>
      <w:bCs/>
      <w:kern w:val="2"/>
      <w:sz w:val="28"/>
      <w:szCs w:val="28"/>
    </w:rPr>
  </w:style>
  <w:style w:type="character" w:customStyle="1" w:styleId="134">
    <w:name w:val="1.1.1 小标题1 Char"/>
    <w:basedOn w:val="133"/>
    <w:link w:val="132"/>
    <w:qFormat/>
    <w:uiPriority w:val="0"/>
    <w:rPr>
      <w:rFonts w:eastAsia="仿宋_GB2312"/>
      <w:kern w:val="2"/>
      <w:sz w:val="28"/>
      <w:szCs w:val="28"/>
    </w:rPr>
  </w:style>
  <w:style w:type="character" w:customStyle="1" w:styleId="135">
    <w:name w:val="纯文本 字符"/>
    <w:qFormat/>
    <w:uiPriority w:val="0"/>
    <w:rPr>
      <w:rFonts w:ascii="宋体" w:hAnsi="Tms Rmn"/>
      <w:sz w:val="28"/>
    </w:rPr>
  </w:style>
  <w:style w:type="character" w:customStyle="1" w:styleId="136">
    <w:name w:val="1正文 Char"/>
    <w:link w:val="4"/>
    <w:qFormat/>
    <w:uiPriority w:val="0"/>
    <w:rPr>
      <w:rFonts w:eastAsia="仿宋_GB2312"/>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wmf"/><Relationship Id="rId22" Type="http://schemas.openxmlformats.org/officeDocument/2006/relationships/oleObject" Target="embeddings/oleObject2.bin"/><Relationship Id="rId21" Type="http://schemas.openxmlformats.org/officeDocument/2006/relationships/image" Target="media/image12.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386"/>
    <customShpInfo spid="_x0000_s1387"/>
    <customShpInfo spid="_x0000_s1389"/>
    <customShpInfo spid="_x0000_s1390"/>
    <customShpInfo spid="_x0000_s1391"/>
    <customShpInfo spid="_x0000_s1392"/>
    <customShpInfo spid="_x0000_s13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FD34E-2B72-4DD0-8477-D31B465F2D2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68</Pages>
  <Words>6323</Words>
  <Characters>36045</Characters>
  <Lines>300</Lines>
  <Paragraphs>84</Paragraphs>
  <TotalTime>0</TotalTime>
  <ScaleCrop>false</ScaleCrop>
  <LinksUpToDate>false</LinksUpToDate>
  <CharactersWithSpaces>42284</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2017-11-21T06:41:00Z</dcterms:created>
  <dc:creator>吴霞</dc:creator>
  <cp:lastModifiedBy>矿工</cp:lastModifiedBy>
  <cp:lastPrinted>2018-07-18T02:56:00Z</cp:lastPrinted>
  <dcterms:modified xsi:type="dcterms:W3CDTF">2018-07-19T01:50:17Z</dcterms:modified>
  <dc:title>应急预案编号</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